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AD" w:rsidRDefault="00524EF0" w:rsidP="00524EF0">
      <w:pPr>
        <w:ind w:right="992"/>
        <w:jc w:val="center"/>
        <w:rPr>
          <w:rFonts w:ascii="Times New Roman" w:hAnsi="Times New Roman"/>
          <w:b/>
          <w:sz w:val="28"/>
          <w:szCs w:val="28"/>
        </w:rPr>
      </w:pPr>
      <w:r>
        <w:rPr>
          <w:rFonts w:ascii="Times New Roman" w:hAnsi="Times New Roman"/>
          <w:b/>
          <w:sz w:val="28"/>
          <w:szCs w:val="28"/>
        </w:rPr>
        <w:t>La nascita del codice di diritto</w:t>
      </w:r>
    </w:p>
    <w:p w:rsidR="00BE271D" w:rsidRPr="00BE271D" w:rsidRDefault="00BE271D" w:rsidP="00BE271D">
      <w:pPr>
        <w:ind w:left="567" w:right="567" w:hanging="567"/>
        <w:jc w:val="center"/>
        <w:rPr>
          <w:rFonts w:ascii="Times New Roman" w:hAnsi="Times New Roman"/>
          <w:sz w:val="24"/>
          <w:szCs w:val="24"/>
        </w:rPr>
      </w:pPr>
      <w:r w:rsidRPr="00BE271D">
        <w:rPr>
          <w:rFonts w:ascii="Times New Roman" w:hAnsi="Times New Roman"/>
          <w:sz w:val="24"/>
          <w:szCs w:val="24"/>
        </w:rPr>
        <w:t xml:space="preserve">in: </w:t>
      </w:r>
      <w:r w:rsidRPr="00BE271D">
        <w:rPr>
          <w:rFonts w:ascii="Times New Roman" w:hAnsi="Times New Roman"/>
          <w:i/>
          <w:sz w:val="24"/>
          <w:szCs w:val="24"/>
        </w:rPr>
        <w:t xml:space="preserve">Tempora </w:t>
      </w:r>
      <w:proofErr w:type="spellStart"/>
      <w:r w:rsidRPr="00BE271D">
        <w:rPr>
          <w:rFonts w:ascii="Times New Roman" w:hAnsi="Times New Roman"/>
          <w:i/>
          <w:sz w:val="24"/>
          <w:szCs w:val="24"/>
        </w:rPr>
        <w:t>codicis</w:t>
      </w:r>
      <w:proofErr w:type="spellEnd"/>
      <w:r w:rsidRPr="00BE271D">
        <w:rPr>
          <w:rFonts w:ascii="Times New Roman" w:hAnsi="Times New Roman"/>
          <w:sz w:val="24"/>
          <w:szCs w:val="24"/>
        </w:rPr>
        <w:t>, Napoli 2015 (in preparazione).</w:t>
      </w:r>
    </w:p>
    <w:p w:rsidR="00BE271D" w:rsidRPr="00BE271D" w:rsidRDefault="00BE271D" w:rsidP="00524EF0">
      <w:pPr>
        <w:ind w:right="992"/>
        <w:jc w:val="center"/>
        <w:rPr>
          <w:rFonts w:ascii="Times New Roman" w:hAnsi="Times New Roman"/>
          <w:sz w:val="24"/>
          <w:szCs w:val="24"/>
        </w:rPr>
      </w:pPr>
    </w:p>
    <w:p w:rsidR="00586C88" w:rsidRPr="00586C88" w:rsidRDefault="00586C88" w:rsidP="00A12492">
      <w:pPr>
        <w:pStyle w:val="CM2"/>
        <w:spacing w:line="240" w:lineRule="atLeast"/>
        <w:ind w:right="567"/>
        <w:rPr>
          <w:sz w:val="28"/>
          <w:szCs w:val="28"/>
        </w:rPr>
      </w:pPr>
      <w:r>
        <w:rPr>
          <w:sz w:val="28"/>
          <w:szCs w:val="28"/>
        </w:rPr>
        <w:t xml:space="preserve">Il </w:t>
      </w:r>
      <w:r w:rsidRPr="00586C88">
        <w:rPr>
          <w:sz w:val="28"/>
          <w:szCs w:val="28"/>
        </w:rPr>
        <w:t>passaggio dalla concezione giuris</w:t>
      </w:r>
      <w:r>
        <w:rPr>
          <w:sz w:val="28"/>
          <w:szCs w:val="28"/>
        </w:rPr>
        <w:t>prudenziale del diritto alla vi</w:t>
      </w:r>
      <w:r w:rsidRPr="00586C88">
        <w:rPr>
          <w:sz w:val="28"/>
          <w:szCs w:val="28"/>
        </w:rPr>
        <w:t xml:space="preserve">sione autoritaria del fenomeno giuridico tra la fine dell'età classica e l'inizio dell'età postclassica determinò, come è </w:t>
      </w:r>
      <w:r>
        <w:rPr>
          <w:sz w:val="28"/>
          <w:szCs w:val="28"/>
        </w:rPr>
        <w:t>noto,</w:t>
      </w:r>
      <w:r w:rsidRPr="00586C88">
        <w:rPr>
          <w:sz w:val="28"/>
          <w:szCs w:val="28"/>
        </w:rPr>
        <w:t xml:space="preserve"> la comparsa delle prime raccolte organiche di disposizioni dotate di efficacia normativa, che presero il nome di </w:t>
      </w:r>
      <w:proofErr w:type="spellStart"/>
      <w:r w:rsidRPr="00586C88">
        <w:rPr>
          <w:i/>
          <w:sz w:val="28"/>
          <w:szCs w:val="28"/>
        </w:rPr>
        <w:t>codices</w:t>
      </w:r>
      <w:proofErr w:type="spellEnd"/>
      <w:r w:rsidRPr="00586C88">
        <w:rPr>
          <w:sz w:val="28"/>
          <w:szCs w:val="28"/>
        </w:rPr>
        <w:t>; non solo in ossequio al nuovo modello di libro</w:t>
      </w:r>
      <w:r w:rsidR="009209EC">
        <w:rPr>
          <w:sz w:val="28"/>
          <w:szCs w:val="28"/>
        </w:rPr>
        <w:t xml:space="preserve"> che si stava imponendo sul rotolo</w:t>
      </w:r>
      <w:r w:rsidRPr="00586C88">
        <w:rPr>
          <w:sz w:val="28"/>
          <w:szCs w:val="28"/>
        </w:rPr>
        <w:t xml:space="preserve">, ma soprattutto perché </w:t>
      </w:r>
      <w:r w:rsidR="009209EC">
        <w:rPr>
          <w:sz w:val="28"/>
          <w:szCs w:val="28"/>
        </w:rPr>
        <w:t xml:space="preserve">esse </w:t>
      </w:r>
      <w:r w:rsidRPr="00586C88">
        <w:rPr>
          <w:sz w:val="28"/>
          <w:szCs w:val="28"/>
        </w:rPr>
        <w:t>traevano origine dai manuali pratici degli operatori del diritto, raccolte di disposizioni e</w:t>
      </w:r>
      <w:r>
        <w:rPr>
          <w:sz w:val="28"/>
          <w:szCs w:val="28"/>
        </w:rPr>
        <w:t xml:space="preserve"> </w:t>
      </w:r>
      <w:r w:rsidRPr="00586C88">
        <w:rPr>
          <w:sz w:val="28"/>
          <w:szCs w:val="28"/>
        </w:rPr>
        <w:t>d</w:t>
      </w:r>
      <w:r>
        <w:rPr>
          <w:sz w:val="28"/>
          <w:szCs w:val="28"/>
        </w:rPr>
        <w:t>i</w:t>
      </w:r>
      <w:r w:rsidRPr="00586C88">
        <w:rPr>
          <w:sz w:val="28"/>
          <w:szCs w:val="28"/>
        </w:rPr>
        <w:t xml:space="preserve"> atti giudiziari, che gi</w:t>
      </w:r>
      <w:r>
        <w:rPr>
          <w:sz w:val="28"/>
          <w:szCs w:val="28"/>
        </w:rPr>
        <w:t>à</w:t>
      </w:r>
      <w:r w:rsidRPr="00586C88">
        <w:rPr>
          <w:sz w:val="28"/>
          <w:szCs w:val="28"/>
        </w:rPr>
        <w:t xml:space="preserve"> per la loro struttura avevano assunto quella denominazione</w:t>
      </w:r>
      <w:r>
        <w:rPr>
          <w:rStyle w:val="Rimandonotaapidipagina"/>
          <w:sz w:val="28"/>
          <w:szCs w:val="28"/>
        </w:rPr>
        <w:footnoteReference w:id="1"/>
      </w:r>
      <w:r w:rsidRPr="00586C88">
        <w:rPr>
          <w:sz w:val="28"/>
          <w:szCs w:val="28"/>
        </w:rPr>
        <w:t xml:space="preserve">. </w:t>
      </w:r>
    </w:p>
    <w:p w:rsidR="00586C88" w:rsidRDefault="00586C88" w:rsidP="00A12492">
      <w:pPr>
        <w:pStyle w:val="CM2"/>
        <w:spacing w:line="240" w:lineRule="atLeast"/>
        <w:ind w:right="567" w:firstLine="348"/>
        <w:rPr>
          <w:sz w:val="28"/>
          <w:szCs w:val="28"/>
        </w:rPr>
      </w:pPr>
      <w:r w:rsidRPr="00586C88">
        <w:rPr>
          <w:sz w:val="28"/>
          <w:szCs w:val="28"/>
        </w:rPr>
        <w:t xml:space="preserve">Nel corso dell'età classica sembra che tali compilazioni circolassero diffusamente nell'Egitto romano. Infatti i papiri hanno conservato, in forma di </w:t>
      </w:r>
      <w:proofErr w:type="spellStart"/>
      <w:r w:rsidRPr="00586C88">
        <w:rPr>
          <w:i/>
          <w:sz w:val="28"/>
          <w:szCs w:val="28"/>
        </w:rPr>
        <w:t>volumina</w:t>
      </w:r>
      <w:proofErr w:type="spellEnd"/>
      <w:r w:rsidRPr="00586C88">
        <w:rPr>
          <w:sz w:val="28"/>
          <w:szCs w:val="28"/>
        </w:rPr>
        <w:t>, diversi frammenti di raccolte di precedenti, di disposizioni eterogenee, talvolta riunite in base a criteri cronologici, gerarchici o sistematici</w:t>
      </w:r>
      <w:r w:rsidR="009209EC">
        <w:rPr>
          <w:sz w:val="28"/>
          <w:szCs w:val="28"/>
        </w:rPr>
        <w:t xml:space="preserve"> in rapporto al contenuto</w:t>
      </w:r>
      <w:r w:rsidRPr="00586C88">
        <w:rPr>
          <w:sz w:val="28"/>
          <w:szCs w:val="28"/>
        </w:rPr>
        <w:t>, redatte sia da privati, che da burocrati</w:t>
      </w:r>
      <w:r w:rsidR="00167BC1">
        <w:rPr>
          <w:rStyle w:val="Rimandonotaapidipagina"/>
          <w:sz w:val="28"/>
          <w:szCs w:val="28"/>
        </w:rPr>
        <w:footnoteReference w:id="2"/>
      </w:r>
      <w:r w:rsidRPr="00586C88">
        <w:rPr>
          <w:sz w:val="28"/>
          <w:szCs w:val="28"/>
        </w:rPr>
        <w:t xml:space="preserve">. </w:t>
      </w:r>
      <w:r w:rsidR="002F31D4">
        <w:rPr>
          <w:sz w:val="28"/>
          <w:szCs w:val="28"/>
        </w:rPr>
        <w:t>Siffatta pratica, venendo incontro alla necessità di adeguarsi a modelli comuni, orientando la prassi, in conformità alla radicata concezione romana dell'</w:t>
      </w:r>
      <w:proofErr w:type="spellStart"/>
      <w:r w:rsidR="002F31D4">
        <w:rPr>
          <w:i/>
          <w:sz w:val="28"/>
          <w:szCs w:val="28"/>
        </w:rPr>
        <w:t>exemplum</w:t>
      </w:r>
      <w:proofErr w:type="spellEnd"/>
      <w:r w:rsidR="002F31D4">
        <w:rPr>
          <w:sz w:val="28"/>
          <w:szCs w:val="28"/>
        </w:rPr>
        <w:t xml:space="preserve">, non era caratteristica soltanto dell'ordinamento egiziano, ma diffusa per l'Impero, come sembrano indicare </w:t>
      </w:r>
      <w:r w:rsidR="0059395E">
        <w:rPr>
          <w:sz w:val="28"/>
          <w:szCs w:val="28"/>
        </w:rPr>
        <w:t xml:space="preserve">anche </w:t>
      </w:r>
      <w:r w:rsidR="002F31D4">
        <w:rPr>
          <w:sz w:val="28"/>
          <w:szCs w:val="28"/>
        </w:rPr>
        <w:t xml:space="preserve">alcuni reperti epigrafici, contribuendo nella tarda età classica alla genesi di una sorta di “proto codici”. </w:t>
      </w:r>
      <w:r w:rsidRPr="00586C88">
        <w:rPr>
          <w:sz w:val="28"/>
          <w:szCs w:val="28"/>
        </w:rPr>
        <w:t xml:space="preserve"> </w:t>
      </w:r>
    </w:p>
    <w:p w:rsidR="00010A8B" w:rsidRDefault="00010A8B" w:rsidP="00A12492">
      <w:pPr>
        <w:spacing w:after="0" w:line="240" w:lineRule="atLeast"/>
        <w:ind w:right="567"/>
        <w:contextualSpacing/>
        <w:rPr>
          <w:rFonts w:ascii="Times New Roman" w:hAnsi="Times New Roman"/>
          <w:sz w:val="28"/>
          <w:szCs w:val="28"/>
          <w:lang w:eastAsia="it-IT"/>
        </w:rPr>
      </w:pPr>
      <w:r>
        <w:rPr>
          <w:rFonts w:ascii="Times New Roman" w:hAnsi="Times New Roman"/>
          <w:sz w:val="28"/>
          <w:szCs w:val="28"/>
          <w:lang w:eastAsia="it-IT"/>
        </w:rPr>
        <w:t>L</w:t>
      </w:r>
      <w:r w:rsidR="00586C88">
        <w:rPr>
          <w:rFonts w:ascii="Times New Roman" w:hAnsi="Times New Roman"/>
          <w:sz w:val="28"/>
          <w:szCs w:val="28"/>
          <w:lang w:eastAsia="it-IT"/>
        </w:rPr>
        <w:t>a nascita</w:t>
      </w:r>
      <w:r>
        <w:rPr>
          <w:rFonts w:ascii="Times New Roman" w:hAnsi="Times New Roman"/>
          <w:sz w:val="28"/>
          <w:szCs w:val="28"/>
          <w:lang w:eastAsia="it-IT"/>
        </w:rPr>
        <w:t xml:space="preserve"> </w:t>
      </w:r>
      <w:r w:rsidR="00586C88">
        <w:rPr>
          <w:rFonts w:ascii="Times New Roman" w:hAnsi="Times New Roman"/>
          <w:sz w:val="28"/>
          <w:szCs w:val="28"/>
          <w:lang w:eastAsia="it-IT"/>
        </w:rPr>
        <w:t xml:space="preserve">del codice di diritto </w:t>
      </w:r>
      <w:r>
        <w:rPr>
          <w:rFonts w:ascii="Times New Roman" w:hAnsi="Times New Roman"/>
          <w:sz w:val="28"/>
          <w:szCs w:val="28"/>
          <w:lang w:eastAsia="it-IT"/>
        </w:rPr>
        <w:t xml:space="preserve">coinvolge, dunque, </w:t>
      </w:r>
      <w:r w:rsidR="009209EC">
        <w:rPr>
          <w:rFonts w:ascii="Times New Roman" w:hAnsi="Times New Roman"/>
          <w:sz w:val="28"/>
          <w:szCs w:val="28"/>
          <w:lang w:eastAsia="it-IT"/>
        </w:rPr>
        <w:t>problematiche</w:t>
      </w:r>
      <w:r w:rsidR="00586C88">
        <w:rPr>
          <w:rFonts w:ascii="Times New Roman" w:hAnsi="Times New Roman"/>
          <w:sz w:val="28"/>
          <w:szCs w:val="28"/>
          <w:lang w:eastAsia="it-IT"/>
        </w:rPr>
        <w:t xml:space="preserve"> </w:t>
      </w:r>
      <w:r>
        <w:rPr>
          <w:rFonts w:ascii="Times New Roman" w:hAnsi="Times New Roman"/>
          <w:sz w:val="28"/>
          <w:szCs w:val="28"/>
          <w:lang w:eastAsia="it-IT"/>
        </w:rPr>
        <w:t xml:space="preserve">formali e </w:t>
      </w:r>
      <w:proofErr w:type="spellStart"/>
      <w:r w:rsidR="00586C88">
        <w:rPr>
          <w:rFonts w:ascii="Times New Roman" w:hAnsi="Times New Roman"/>
          <w:sz w:val="28"/>
          <w:szCs w:val="28"/>
          <w:lang w:eastAsia="it-IT"/>
        </w:rPr>
        <w:t>codicologic</w:t>
      </w:r>
      <w:r w:rsidR="009209EC">
        <w:rPr>
          <w:rFonts w:ascii="Times New Roman" w:hAnsi="Times New Roman"/>
          <w:sz w:val="28"/>
          <w:szCs w:val="28"/>
          <w:lang w:eastAsia="it-IT"/>
        </w:rPr>
        <w:t>he</w:t>
      </w:r>
      <w:proofErr w:type="spellEnd"/>
      <w:r w:rsidR="006112D6">
        <w:rPr>
          <w:rFonts w:ascii="Times New Roman" w:hAnsi="Times New Roman"/>
          <w:sz w:val="28"/>
          <w:szCs w:val="28"/>
          <w:lang w:eastAsia="it-IT"/>
        </w:rPr>
        <w:t xml:space="preserve"> -</w:t>
      </w:r>
      <w:r>
        <w:rPr>
          <w:rFonts w:ascii="Times New Roman" w:hAnsi="Times New Roman"/>
          <w:sz w:val="28"/>
          <w:szCs w:val="28"/>
          <w:lang w:eastAsia="it-IT"/>
        </w:rPr>
        <w:t xml:space="preserve"> culturali</w:t>
      </w:r>
      <w:r w:rsidR="00FA571A">
        <w:rPr>
          <w:rFonts w:ascii="Times New Roman" w:hAnsi="Times New Roman"/>
          <w:sz w:val="28"/>
          <w:szCs w:val="28"/>
          <w:lang w:eastAsia="it-IT"/>
        </w:rPr>
        <w:t xml:space="preserve"> in genere</w:t>
      </w:r>
      <w:r w:rsidR="006112D6">
        <w:rPr>
          <w:rFonts w:ascii="Times New Roman" w:hAnsi="Times New Roman"/>
          <w:sz w:val="28"/>
          <w:szCs w:val="28"/>
          <w:lang w:eastAsia="it-IT"/>
        </w:rPr>
        <w:t xml:space="preserve"> -</w:t>
      </w:r>
      <w:r>
        <w:rPr>
          <w:rFonts w:ascii="Times New Roman" w:hAnsi="Times New Roman"/>
          <w:sz w:val="28"/>
          <w:szCs w:val="28"/>
          <w:lang w:eastAsia="it-IT"/>
        </w:rPr>
        <w:t xml:space="preserve"> ma soprattutto conness</w:t>
      </w:r>
      <w:r w:rsidR="009209EC">
        <w:rPr>
          <w:rFonts w:ascii="Times New Roman" w:hAnsi="Times New Roman"/>
          <w:sz w:val="28"/>
          <w:szCs w:val="28"/>
          <w:lang w:eastAsia="it-IT"/>
        </w:rPr>
        <w:t>e</w:t>
      </w:r>
      <w:r>
        <w:rPr>
          <w:rFonts w:ascii="Times New Roman" w:hAnsi="Times New Roman"/>
          <w:sz w:val="28"/>
          <w:szCs w:val="28"/>
          <w:lang w:eastAsia="it-IT"/>
        </w:rPr>
        <w:t xml:space="preserve"> all’impiego di una letteratura di riferimento </w:t>
      </w:r>
      <w:r w:rsidR="00FA571A">
        <w:rPr>
          <w:rFonts w:ascii="Times New Roman" w:hAnsi="Times New Roman"/>
          <w:sz w:val="28"/>
          <w:szCs w:val="28"/>
          <w:lang w:eastAsia="it-IT"/>
        </w:rPr>
        <w:t xml:space="preserve">in campo giuridico </w:t>
      </w:r>
      <w:r>
        <w:rPr>
          <w:rFonts w:ascii="Times New Roman" w:hAnsi="Times New Roman"/>
          <w:sz w:val="28"/>
          <w:szCs w:val="28"/>
          <w:lang w:eastAsia="it-IT"/>
        </w:rPr>
        <w:t>e alla realizzazione delle prime raccolte casistiche</w:t>
      </w:r>
      <w:r w:rsidR="00FA571A">
        <w:rPr>
          <w:rFonts w:ascii="Times New Roman" w:hAnsi="Times New Roman"/>
          <w:sz w:val="28"/>
          <w:szCs w:val="28"/>
          <w:lang w:eastAsia="it-IT"/>
        </w:rPr>
        <w:t>.</w:t>
      </w:r>
    </w:p>
    <w:p w:rsidR="00A12492" w:rsidRDefault="008B02E5" w:rsidP="00BE6AA0">
      <w:pPr>
        <w:autoSpaceDE w:val="0"/>
        <w:autoSpaceDN w:val="0"/>
        <w:adjustRightInd w:val="0"/>
        <w:spacing w:after="0" w:line="240" w:lineRule="atLeast"/>
        <w:ind w:right="567"/>
        <w:rPr>
          <w:rFonts w:ascii="Times New Roman" w:hAnsi="Times New Roman"/>
          <w:sz w:val="28"/>
          <w:szCs w:val="28"/>
        </w:rPr>
      </w:pPr>
      <w:r>
        <w:rPr>
          <w:rFonts w:ascii="Times New Roman" w:hAnsi="Times New Roman"/>
          <w:sz w:val="28"/>
          <w:szCs w:val="28"/>
          <w:lang w:eastAsia="it-IT"/>
        </w:rPr>
        <w:t xml:space="preserve">In realtà, i più antichi codici di diritto, come quelli mesopotamici, </w:t>
      </w:r>
      <w:r w:rsidR="00BE6AA0">
        <w:rPr>
          <w:rFonts w:ascii="Times New Roman" w:hAnsi="Times New Roman"/>
          <w:sz w:val="28"/>
          <w:szCs w:val="28"/>
          <w:lang w:eastAsia="it-IT"/>
        </w:rPr>
        <w:t>era</w:t>
      </w:r>
      <w:r>
        <w:rPr>
          <w:rFonts w:ascii="Times New Roman" w:hAnsi="Times New Roman"/>
          <w:sz w:val="28"/>
          <w:szCs w:val="28"/>
          <w:lang w:eastAsia="it-IT"/>
        </w:rPr>
        <w:t xml:space="preserve">no emersi </w:t>
      </w:r>
      <w:r w:rsidR="004B6226">
        <w:rPr>
          <w:rFonts w:ascii="Times New Roman" w:hAnsi="Times New Roman"/>
          <w:sz w:val="28"/>
          <w:szCs w:val="28"/>
          <w:lang w:eastAsia="it-IT"/>
        </w:rPr>
        <w:t>in quanto</w:t>
      </w:r>
      <w:r>
        <w:rPr>
          <w:rFonts w:ascii="Times New Roman" w:hAnsi="Times New Roman"/>
          <w:sz w:val="28"/>
          <w:szCs w:val="28"/>
          <w:lang w:eastAsia="it-IT"/>
        </w:rPr>
        <w:t xml:space="preserve"> ‘codici casistici’. </w:t>
      </w:r>
      <w:r w:rsidRPr="008B02E5">
        <w:rPr>
          <w:rFonts w:ascii="Times New Roman" w:hAnsi="Times New Roman"/>
          <w:sz w:val="28"/>
          <w:szCs w:val="28"/>
        </w:rPr>
        <w:t>In Oriente in</w:t>
      </w:r>
      <w:r w:rsidR="00366691">
        <w:rPr>
          <w:rFonts w:ascii="Times New Roman" w:hAnsi="Times New Roman"/>
          <w:sz w:val="28"/>
          <w:szCs w:val="28"/>
        </w:rPr>
        <w:t>fatti</w:t>
      </w:r>
      <w:r w:rsidRPr="008B02E5">
        <w:rPr>
          <w:rFonts w:ascii="Times New Roman" w:hAnsi="Times New Roman"/>
          <w:sz w:val="28"/>
          <w:szCs w:val="28"/>
        </w:rPr>
        <w:t xml:space="preserve"> </w:t>
      </w:r>
      <w:r w:rsidR="00366691">
        <w:rPr>
          <w:rFonts w:ascii="Times New Roman" w:hAnsi="Times New Roman"/>
          <w:sz w:val="28"/>
          <w:szCs w:val="28"/>
        </w:rPr>
        <w:t>per</w:t>
      </w:r>
      <w:r w:rsidRPr="008B02E5">
        <w:rPr>
          <w:rFonts w:ascii="Times New Roman" w:hAnsi="Times New Roman"/>
          <w:sz w:val="28"/>
          <w:szCs w:val="28"/>
        </w:rPr>
        <w:t xml:space="preserve"> millenni sovrani legislatori </w:t>
      </w:r>
      <w:r w:rsidR="00BE6AA0">
        <w:rPr>
          <w:rFonts w:ascii="Times New Roman" w:hAnsi="Times New Roman"/>
          <w:sz w:val="28"/>
          <w:szCs w:val="28"/>
        </w:rPr>
        <w:t>aveva</w:t>
      </w:r>
      <w:r w:rsidR="00366691">
        <w:rPr>
          <w:rFonts w:ascii="Times New Roman" w:hAnsi="Times New Roman"/>
          <w:sz w:val="28"/>
          <w:szCs w:val="28"/>
        </w:rPr>
        <w:t>no im</w:t>
      </w:r>
      <w:r w:rsidRPr="008B02E5">
        <w:rPr>
          <w:rFonts w:ascii="Times New Roman" w:hAnsi="Times New Roman"/>
          <w:sz w:val="28"/>
          <w:szCs w:val="28"/>
        </w:rPr>
        <w:t>po</w:t>
      </w:r>
      <w:r w:rsidR="00366691">
        <w:rPr>
          <w:rFonts w:ascii="Times New Roman" w:hAnsi="Times New Roman"/>
          <w:sz w:val="28"/>
          <w:szCs w:val="28"/>
        </w:rPr>
        <w:t>st</w:t>
      </w:r>
      <w:r w:rsidRPr="008B02E5">
        <w:rPr>
          <w:rFonts w:ascii="Times New Roman" w:hAnsi="Times New Roman"/>
          <w:sz w:val="28"/>
          <w:szCs w:val="28"/>
        </w:rPr>
        <w:t xml:space="preserve">o </w:t>
      </w:r>
      <w:r w:rsidR="00366691">
        <w:rPr>
          <w:rFonts w:ascii="Times New Roman" w:hAnsi="Times New Roman"/>
          <w:sz w:val="28"/>
          <w:szCs w:val="28"/>
        </w:rPr>
        <w:t xml:space="preserve">ai </w:t>
      </w:r>
      <w:r w:rsidR="00366691" w:rsidRPr="008B02E5">
        <w:rPr>
          <w:rFonts w:ascii="Times New Roman" w:hAnsi="Times New Roman"/>
          <w:sz w:val="28"/>
          <w:szCs w:val="28"/>
        </w:rPr>
        <w:t xml:space="preserve">sudditi </w:t>
      </w:r>
      <w:r w:rsidR="004B6226">
        <w:rPr>
          <w:rFonts w:ascii="Times New Roman" w:hAnsi="Times New Roman"/>
          <w:sz w:val="28"/>
          <w:szCs w:val="28"/>
        </w:rPr>
        <w:t>testi</w:t>
      </w:r>
      <w:r w:rsidRPr="008B02E5">
        <w:rPr>
          <w:rFonts w:ascii="Times New Roman" w:hAnsi="Times New Roman"/>
          <w:sz w:val="28"/>
          <w:szCs w:val="28"/>
        </w:rPr>
        <w:t xml:space="preserve"> </w:t>
      </w:r>
      <w:r w:rsidR="00366691">
        <w:rPr>
          <w:rFonts w:ascii="Times New Roman" w:hAnsi="Times New Roman"/>
          <w:sz w:val="28"/>
          <w:szCs w:val="28"/>
        </w:rPr>
        <w:t xml:space="preserve">relativi a </w:t>
      </w:r>
      <w:r w:rsidRPr="008B02E5">
        <w:rPr>
          <w:rFonts w:ascii="Times New Roman" w:hAnsi="Times New Roman"/>
          <w:sz w:val="28"/>
          <w:szCs w:val="28"/>
        </w:rPr>
        <w:t>casi</w:t>
      </w:r>
      <w:r w:rsidR="00366691">
        <w:rPr>
          <w:rFonts w:ascii="Times New Roman" w:hAnsi="Times New Roman"/>
          <w:sz w:val="28"/>
          <w:szCs w:val="28"/>
        </w:rPr>
        <w:t xml:space="preserve"> specif</w:t>
      </w:r>
      <w:r w:rsidRPr="008B02E5">
        <w:rPr>
          <w:rFonts w:ascii="Times New Roman" w:hAnsi="Times New Roman"/>
          <w:sz w:val="28"/>
          <w:szCs w:val="28"/>
        </w:rPr>
        <w:t xml:space="preserve">ici di equivalenze, che non solo </w:t>
      </w:r>
      <w:r w:rsidR="006112D6" w:rsidRPr="008B02E5">
        <w:rPr>
          <w:rFonts w:ascii="Times New Roman" w:hAnsi="Times New Roman"/>
          <w:sz w:val="28"/>
          <w:szCs w:val="28"/>
        </w:rPr>
        <w:t>auto glorificavano</w:t>
      </w:r>
      <w:r w:rsidRPr="008B02E5">
        <w:rPr>
          <w:rFonts w:ascii="Times New Roman" w:hAnsi="Times New Roman"/>
          <w:sz w:val="28"/>
          <w:szCs w:val="28"/>
        </w:rPr>
        <w:t xml:space="preserve"> l’autore, ma soddisfacevano la coscienza del dovere regale di garantire l’equità</w:t>
      </w:r>
      <w:r w:rsidR="007B4C32">
        <w:rPr>
          <w:rFonts w:ascii="Times New Roman" w:hAnsi="Times New Roman"/>
          <w:sz w:val="28"/>
          <w:szCs w:val="28"/>
        </w:rPr>
        <w:t>, indicando indirettamente al lettore la regola da seguire</w:t>
      </w:r>
      <w:r w:rsidRPr="008B02E5">
        <w:rPr>
          <w:rStyle w:val="Rimandonotaapidipagina"/>
          <w:rFonts w:ascii="Times New Roman" w:hAnsi="Times New Roman"/>
          <w:sz w:val="28"/>
          <w:szCs w:val="28"/>
        </w:rPr>
        <w:footnoteReference w:id="3"/>
      </w:r>
      <w:r w:rsidRPr="008B02E5">
        <w:rPr>
          <w:rFonts w:ascii="Times New Roman" w:hAnsi="Times New Roman"/>
          <w:sz w:val="28"/>
          <w:szCs w:val="28"/>
        </w:rPr>
        <w:t>.</w:t>
      </w:r>
      <w:r w:rsidR="00366691">
        <w:rPr>
          <w:rFonts w:ascii="Times New Roman" w:hAnsi="Times New Roman"/>
          <w:sz w:val="28"/>
          <w:szCs w:val="28"/>
        </w:rPr>
        <w:t xml:space="preserve"> Ma anche le prime opere giurisprudenziali romane note, quelle di Bruto, </w:t>
      </w:r>
      <w:proofErr w:type="spellStart"/>
      <w:r w:rsidR="00366691">
        <w:rPr>
          <w:rFonts w:ascii="Times New Roman" w:hAnsi="Times New Roman"/>
          <w:sz w:val="28"/>
          <w:szCs w:val="28"/>
        </w:rPr>
        <w:t>Manilio</w:t>
      </w:r>
      <w:proofErr w:type="spellEnd"/>
      <w:r w:rsidR="00366691">
        <w:rPr>
          <w:rFonts w:ascii="Times New Roman" w:hAnsi="Times New Roman"/>
          <w:sz w:val="28"/>
          <w:szCs w:val="28"/>
        </w:rPr>
        <w:t xml:space="preserve"> e Scevola, presenta</w:t>
      </w:r>
      <w:r w:rsidR="003223C3">
        <w:rPr>
          <w:rFonts w:ascii="Times New Roman" w:hAnsi="Times New Roman"/>
          <w:sz w:val="28"/>
          <w:szCs w:val="28"/>
        </w:rPr>
        <w:t>va</w:t>
      </w:r>
      <w:r w:rsidR="00366691">
        <w:rPr>
          <w:rFonts w:ascii="Times New Roman" w:hAnsi="Times New Roman"/>
          <w:sz w:val="28"/>
          <w:szCs w:val="28"/>
        </w:rPr>
        <w:t>no struttura casistica</w:t>
      </w:r>
      <w:r w:rsidR="003223C3">
        <w:rPr>
          <w:rFonts w:ascii="Times New Roman" w:hAnsi="Times New Roman"/>
          <w:sz w:val="28"/>
          <w:szCs w:val="28"/>
        </w:rPr>
        <w:t xml:space="preserve"> -</w:t>
      </w:r>
      <w:r w:rsidR="00366691">
        <w:rPr>
          <w:rFonts w:ascii="Times New Roman" w:hAnsi="Times New Roman"/>
          <w:sz w:val="28"/>
          <w:szCs w:val="28"/>
        </w:rPr>
        <w:t xml:space="preserve"> </w:t>
      </w:r>
      <w:r w:rsidR="003223C3">
        <w:rPr>
          <w:rFonts w:ascii="Times New Roman" w:hAnsi="Times New Roman"/>
          <w:sz w:val="28"/>
          <w:szCs w:val="28"/>
        </w:rPr>
        <w:t xml:space="preserve">la prima </w:t>
      </w:r>
      <w:r w:rsidR="00366691">
        <w:rPr>
          <w:rFonts w:ascii="Times New Roman" w:hAnsi="Times New Roman"/>
          <w:sz w:val="28"/>
          <w:szCs w:val="28"/>
        </w:rPr>
        <w:t>addirittura dialogica</w:t>
      </w:r>
      <w:r w:rsidR="003223C3">
        <w:rPr>
          <w:rStyle w:val="Rimandonotaapidipagina"/>
          <w:rFonts w:ascii="Times New Roman" w:hAnsi="Times New Roman"/>
          <w:sz w:val="28"/>
          <w:szCs w:val="28"/>
        </w:rPr>
        <w:footnoteReference w:id="4"/>
      </w:r>
      <w:r w:rsidR="003223C3">
        <w:rPr>
          <w:rFonts w:ascii="Times New Roman" w:hAnsi="Times New Roman"/>
          <w:sz w:val="28"/>
          <w:szCs w:val="28"/>
        </w:rPr>
        <w:t xml:space="preserve"> - che assicurava la certezza del diritto </w:t>
      </w:r>
      <w:r w:rsidR="00C56C74">
        <w:rPr>
          <w:rFonts w:ascii="Times New Roman" w:hAnsi="Times New Roman"/>
          <w:sz w:val="28"/>
          <w:szCs w:val="28"/>
        </w:rPr>
        <w:t>solo indirettamente, ben diversamente dai codici moderni</w:t>
      </w:r>
      <w:r w:rsidR="007B4C32">
        <w:rPr>
          <w:rFonts w:ascii="Times New Roman" w:hAnsi="Times New Roman"/>
          <w:sz w:val="28"/>
          <w:szCs w:val="28"/>
        </w:rPr>
        <w:t xml:space="preserve">, i quali </w:t>
      </w:r>
      <w:r w:rsidR="007B4C32" w:rsidRPr="007B4C32">
        <w:rPr>
          <w:rFonts w:ascii="Times New Roman" w:hAnsi="Times New Roman"/>
          <w:sz w:val="28"/>
          <w:szCs w:val="28"/>
        </w:rPr>
        <w:t xml:space="preserve">sottendono l’idea che la giuridicità sia predicabile essenzialmente in funzione di </w:t>
      </w:r>
      <w:r w:rsidR="007B4C32">
        <w:rPr>
          <w:rFonts w:ascii="Times New Roman" w:hAnsi="Times New Roman"/>
          <w:sz w:val="28"/>
          <w:szCs w:val="28"/>
        </w:rPr>
        <w:t>testi</w:t>
      </w:r>
      <w:r w:rsidR="007B4C32" w:rsidRPr="007B4C32">
        <w:rPr>
          <w:rFonts w:ascii="Times New Roman" w:hAnsi="Times New Roman"/>
          <w:sz w:val="28"/>
          <w:szCs w:val="28"/>
        </w:rPr>
        <w:t xml:space="preserve"> completi ed esaurienti, nei quali si trova contenuta la disciplina unitaria ed organica di uno o più settori dei rapporti sociali all’interno di un determinato Stato in </w:t>
      </w:r>
      <w:r w:rsidR="004B6226">
        <w:rPr>
          <w:rFonts w:ascii="Times New Roman" w:hAnsi="Times New Roman"/>
          <w:sz w:val="28"/>
          <w:szCs w:val="28"/>
        </w:rPr>
        <w:t>un dato</w:t>
      </w:r>
      <w:r w:rsidR="007B4C32" w:rsidRPr="007B4C32">
        <w:rPr>
          <w:rFonts w:ascii="Times New Roman" w:hAnsi="Times New Roman"/>
          <w:sz w:val="28"/>
          <w:szCs w:val="28"/>
        </w:rPr>
        <w:t xml:space="preserve"> momento storico</w:t>
      </w:r>
      <w:r w:rsidR="007B4C32">
        <w:rPr>
          <w:rStyle w:val="Rimandonotaapidipagina"/>
          <w:rFonts w:ascii="Times New Roman" w:hAnsi="Times New Roman"/>
          <w:sz w:val="28"/>
          <w:szCs w:val="28"/>
        </w:rPr>
        <w:footnoteReference w:id="5"/>
      </w:r>
      <w:r w:rsidR="007B4C32" w:rsidRPr="007B4C32">
        <w:rPr>
          <w:rFonts w:ascii="Times New Roman" w:hAnsi="Times New Roman"/>
          <w:sz w:val="28"/>
          <w:szCs w:val="28"/>
        </w:rPr>
        <w:t>.</w:t>
      </w:r>
      <w:r w:rsidR="0032754D">
        <w:rPr>
          <w:rFonts w:ascii="Times New Roman" w:hAnsi="Times New Roman"/>
          <w:sz w:val="28"/>
          <w:szCs w:val="28"/>
        </w:rPr>
        <w:t xml:space="preserve"> Oltre a </w:t>
      </w:r>
      <w:r w:rsidR="008B1C77">
        <w:rPr>
          <w:rFonts w:ascii="Times New Roman" w:hAnsi="Times New Roman"/>
          <w:sz w:val="28"/>
          <w:szCs w:val="28"/>
        </w:rPr>
        <w:t>salvaguardare</w:t>
      </w:r>
      <w:r w:rsidR="0032754D">
        <w:rPr>
          <w:rFonts w:ascii="Times New Roman" w:hAnsi="Times New Roman"/>
          <w:sz w:val="28"/>
          <w:szCs w:val="28"/>
        </w:rPr>
        <w:t xml:space="preserve"> direttamente la certezza del diritto, </w:t>
      </w:r>
      <w:r w:rsidR="0033019D">
        <w:rPr>
          <w:rFonts w:ascii="Times New Roman" w:hAnsi="Times New Roman"/>
          <w:sz w:val="28"/>
          <w:szCs w:val="28"/>
        </w:rPr>
        <w:t xml:space="preserve">i moderni codici </w:t>
      </w:r>
      <w:r w:rsidR="0032754D">
        <w:rPr>
          <w:rFonts w:ascii="Times New Roman" w:hAnsi="Times New Roman"/>
          <w:sz w:val="28"/>
          <w:szCs w:val="28"/>
        </w:rPr>
        <w:t>mirano dunque alla completezza, alla non contraddittorietà delle norme</w:t>
      </w:r>
      <w:r w:rsidR="00F81A56">
        <w:rPr>
          <w:rFonts w:ascii="Times New Roman" w:hAnsi="Times New Roman"/>
          <w:sz w:val="28"/>
          <w:szCs w:val="28"/>
        </w:rPr>
        <w:t xml:space="preserve"> e</w:t>
      </w:r>
      <w:r w:rsidR="0032754D">
        <w:rPr>
          <w:rFonts w:ascii="Times New Roman" w:hAnsi="Times New Roman"/>
          <w:sz w:val="28"/>
          <w:szCs w:val="28"/>
        </w:rPr>
        <w:t xml:space="preserve"> alla loro logicità per la realizzazione di un sistema organico. Tutte caratteristiche assenti alle codificazioni antiche.</w:t>
      </w:r>
      <w:r w:rsidR="00F81A56">
        <w:rPr>
          <w:rFonts w:ascii="Times New Roman" w:hAnsi="Times New Roman"/>
          <w:sz w:val="28"/>
          <w:szCs w:val="28"/>
        </w:rPr>
        <w:t xml:space="preserve"> Pertanto </w:t>
      </w:r>
      <w:r w:rsidR="00F81A56" w:rsidRPr="00F81A56">
        <w:rPr>
          <w:rFonts w:ascii="Times New Roman" w:hAnsi="Times New Roman"/>
          <w:sz w:val="28"/>
          <w:szCs w:val="28"/>
        </w:rPr>
        <w:t>l’ideologia della codificazione</w:t>
      </w:r>
      <w:r w:rsidR="00F81A56">
        <w:rPr>
          <w:rFonts w:ascii="Times New Roman" w:hAnsi="Times New Roman"/>
          <w:sz w:val="28"/>
          <w:szCs w:val="28"/>
        </w:rPr>
        <w:t>,</w:t>
      </w:r>
      <w:r w:rsidR="00F81A56" w:rsidRPr="00F81A56">
        <w:rPr>
          <w:rFonts w:ascii="Times New Roman" w:hAnsi="Times New Roman"/>
          <w:sz w:val="28"/>
          <w:szCs w:val="28"/>
        </w:rPr>
        <w:t xml:space="preserve"> </w:t>
      </w:r>
      <w:r w:rsidR="00F81A56">
        <w:rPr>
          <w:rFonts w:ascii="Times New Roman" w:hAnsi="Times New Roman"/>
          <w:sz w:val="28"/>
          <w:szCs w:val="28"/>
        </w:rPr>
        <w:t xml:space="preserve">che </w:t>
      </w:r>
      <w:r w:rsidR="00F81A56" w:rsidRPr="00F81A56">
        <w:rPr>
          <w:rFonts w:ascii="Times New Roman" w:hAnsi="Times New Roman"/>
          <w:sz w:val="28"/>
          <w:szCs w:val="28"/>
        </w:rPr>
        <w:t>costituisce</w:t>
      </w:r>
      <w:r w:rsidR="00F81A56">
        <w:rPr>
          <w:rFonts w:ascii="Times New Roman" w:hAnsi="Times New Roman"/>
          <w:i/>
        </w:rPr>
        <w:t xml:space="preserve"> </w:t>
      </w:r>
      <w:r w:rsidR="00F81A56" w:rsidRPr="00F81A56">
        <w:rPr>
          <w:rFonts w:ascii="Times New Roman" w:hAnsi="Times New Roman"/>
          <w:sz w:val="28"/>
          <w:szCs w:val="28"/>
        </w:rPr>
        <w:t xml:space="preserve">uno dei supporti culturali della moderna teoria delle fonti e </w:t>
      </w:r>
      <w:r w:rsidR="00F81A56" w:rsidRPr="00F81A56">
        <w:rPr>
          <w:rFonts w:ascii="Times New Roman" w:hAnsi="Times New Roman"/>
          <w:sz w:val="28"/>
          <w:szCs w:val="28"/>
        </w:rPr>
        <w:lastRenderedPageBreak/>
        <w:t>dell’interpretazione</w:t>
      </w:r>
      <w:r w:rsidR="00F81A56">
        <w:rPr>
          <w:rFonts w:ascii="Times New Roman" w:hAnsi="Times New Roman"/>
          <w:sz w:val="28"/>
          <w:szCs w:val="28"/>
        </w:rPr>
        <w:t>,</w:t>
      </w:r>
      <w:r w:rsidR="00F81A56" w:rsidRPr="00F81A56">
        <w:rPr>
          <w:rFonts w:ascii="Times New Roman" w:hAnsi="Times New Roman"/>
          <w:sz w:val="28"/>
          <w:szCs w:val="28"/>
        </w:rPr>
        <w:t xml:space="preserve"> è propria dell’età moderna, in quanto affonda le sue radici storiche nel periodo compreso fra età illuministica </w:t>
      </w:r>
      <w:r w:rsidR="00F81A56">
        <w:rPr>
          <w:rFonts w:ascii="Times New Roman" w:hAnsi="Times New Roman"/>
          <w:sz w:val="28"/>
          <w:szCs w:val="28"/>
        </w:rPr>
        <w:t>e l’</w:t>
      </w:r>
      <w:r w:rsidR="00F81A56" w:rsidRPr="00F81A56">
        <w:rPr>
          <w:rFonts w:ascii="Times New Roman" w:hAnsi="Times New Roman"/>
          <w:sz w:val="28"/>
          <w:szCs w:val="28"/>
        </w:rPr>
        <w:t>età liberale</w:t>
      </w:r>
      <w:r w:rsidR="00F81A56">
        <w:rPr>
          <w:rFonts w:ascii="Times New Roman" w:hAnsi="Times New Roman"/>
          <w:sz w:val="28"/>
          <w:szCs w:val="28"/>
        </w:rPr>
        <w:t>.</w:t>
      </w:r>
      <w:r w:rsidR="00A12492">
        <w:rPr>
          <w:rFonts w:ascii="Times New Roman" w:hAnsi="Times New Roman"/>
          <w:sz w:val="28"/>
          <w:szCs w:val="28"/>
        </w:rPr>
        <w:t xml:space="preserve"> </w:t>
      </w:r>
      <w:r w:rsidR="004B6226" w:rsidRPr="00A12492">
        <w:rPr>
          <w:rFonts w:ascii="Times New Roman" w:hAnsi="Times New Roman"/>
          <w:sz w:val="28"/>
          <w:szCs w:val="28"/>
        </w:rPr>
        <w:t>“</w:t>
      </w:r>
      <w:r w:rsidR="00A12492" w:rsidRPr="00A12492">
        <w:rPr>
          <w:rFonts w:ascii="Times New Roman" w:hAnsi="Times New Roman"/>
          <w:sz w:val="28"/>
          <w:szCs w:val="28"/>
        </w:rPr>
        <w:t xml:space="preserve">Nel contesto del razionalismo giuridico matura </w:t>
      </w:r>
      <w:r w:rsidR="00A12492">
        <w:rPr>
          <w:rFonts w:ascii="Times New Roman" w:hAnsi="Times New Roman"/>
          <w:sz w:val="28"/>
          <w:szCs w:val="28"/>
        </w:rPr>
        <w:t>infatti</w:t>
      </w:r>
      <w:r w:rsidR="00A12492" w:rsidRPr="00A12492">
        <w:rPr>
          <w:rFonts w:ascii="Times New Roman" w:hAnsi="Times New Roman"/>
          <w:sz w:val="28"/>
          <w:szCs w:val="28"/>
        </w:rPr>
        <w:t xml:space="preserve"> l’esigenza, tipicamente razionalistica, dell’ordine normativo, totale ed onnicomprensivo, quale presupposto essenziale e condizione necessaria della </w:t>
      </w:r>
      <w:r w:rsidR="004B6226">
        <w:rPr>
          <w:rFonts w:ascii="Times New Roman" w:hAnsi="Times New Roman"/>
          <w:sz w:val="28"/>
          <w:szCs w:val="28"/>
        </w:rPr>
        <w:t>‘</w:t>
      </w:r>
      <w:r w:rsidR="00A12492" w:rsidRPr="00A12492">
        <w:rPr>
          <w:rFonts w:ascii="Times New Roman" w:hAnsi="Times New Roman"/>
          <w:sz w:val="28"/>
          <w:szCs w:val="28"/>
        </w:rPr>
        <w:t>certezza</w:t>
      </w:r>
      <w:r w:rsidR="004B6226">
        <w:rPr>
          <w:rFonts w:ascii="Times New Roman" w:hAnsi="Times New Roman"/>
          <w:sz w:val="28"/>
          <w:szCs w:val="28"/>
        </w:rPr>
        <w:t>’</w:t>
      </w:r>
      <w:r w:rsidR="00A12492" w:rsidRPr="00A12492">
        <w:rPr>
          <w:rFonts w:ascii="Times New Roman" w:hAnsi="Times New Roman"/>
          <w:sz w:val="28"/>
          <w:szCs w:val="28"/>
        </w:rPr>
        <w:t xml:space="preserve"> del  diritto</w:t>
      </w:r>
      <w:r w:rsidR="00A12492" w:rsidRPr="00A12492">
        <w:rPr>
          <w:rStyle w:val="Rimandonotaapidipagina"/>
          <w:rFonts w:ascii="Times New Roman" w:hAnsi="Times New Roman"/>
          <w:sz w:val="28"/>
          <w:szCs w:val="28"/>
        </w:rPr>
        <w:footnoteReference w:id="6"/>
      </w:r>
      <w:r w:rsidR="004B6226">
        <w:rPr>
          <w:rFonts w:ascii="Times New Roman" w:hAnsi="Times New Roman"/>
          <w:sz w:val="28"/>
          <w:szCs w:val="28"/>
        </w:rPr>
        <w:t xml:space="preserve"> </w:t>
      </w:r>
      <w:r w:rsidR="004B6226" w:rsidRPr="00A12492">
        <w:rPr>
          <w:rFonts w:ascii="Times New Roman" w:hAnsi="Times New Roman"/>
          <w:sz w:val="28"/>
          <w:szCs w:val="28"/>
        </w:rPr>
        <w:t>”</w:t>
      </w:r>
      <w:r w:rsidR="00A12492" w:rsidRPr="00A12492">
        <w:rPr>
          <w:rFonts w:ascii="Times New Roman" w:hAnsi="Times New Roman"/>
          <w:sz w:val="28"/>
          <w:szCs w:val="28"/>
        </w:rPr>
        <w:t>.</w:t>
      </w:r>
      <w:r w:rsidR="004B6226">
        <w:rPr>
          <w:rFonts w:ascii="Times New Roman" w:hAnsi="Times New Roman"/>
          <w:sz w:val="28"/>
          <w:szCs w:val="28"/>
        </w:rPr>
        <w:t xml:space="preserve"> </w:t>
      </w:r>
    </w:p>
    <w:p w:rsidR="00574442" w:rsidRDefault="0028077E" w:rsidP="0026094C">
      <w:pPr>
        <w:autoSpaceDE w:val="0"/>
        <w:autoSpaceDN w:val="0"/>
        <w:adjustRightInd w:val="0"/>
        <w:spacing w:after="0" w:line="240" w:lineRule="atLeast"/>
        <w:ind w:right="567"/>
        <w:rPr>
          <w:rFonts w:ascii="Times New Roman" w:hAnsi="Times New Roman"/>
          <w:sz w:val="28"/>
          <w:szCs w:val="28"/>
        </w:rPr>
      </w:pPr>
      <w:r>
        <w:rPr>
          <w:rFonts w:ascii="Times New Roman" w:hAnsi="Times New Roman"/>
          <w:sz w:val="28"/>
          <w:szCs w:val="28"/>
        </w:rPr>
        <w:t xml:space="preserve">Se dunque </w:t>
      </w:r>
      <w:r w:rsidRPr="0028077E">
        <w:rPr>
          <w:rFonts w:ascii="Times New Roman" w:hAnsi="Times New Roman"/>
          <w:sz w:val="28"/>
          <w:szCs w:val="28"/>
        </w:rPr>
        <w:t xml:space="preserve">il fenomeno </w:t>
      </w:r>
      <w:proofErr w:type="spellStart"/>
      <w:r w:rsidRPr="0028077E">
        <w:rPr>
          <w:rFonts w:ascii="Times New Roman" w:hAnsi="Times New Roman"/>
          <w:sz w:val="28"/>
          <w:szCs w:val="28"/>
        </w:rPr>
        <w:t>codificatorio</w:t>
      </w:r>
      <w:proofErr w:type="spellEnd"/>
      <w:r w:rsidRPr="0028077E">
        <w:rPr>
          <w:rFonts w:ascii="Times New Roman" w:hAnsi="Times New Roman"/>
          <w:sz w:val="28"/>
          <w:szCs w:val="28"/>
        </w:rPr>
        <w:t xml:space="preserve"> risulta fondamentalmente circoscritto all’età </w:t>
      </w:r>
      <w:r>
        <w:rPr>
          <w:rFonts w:ascii="Times New Roman" w:hAnsi="Times New Roman"/>
          <w:sz w:val="28"/>
          <w:szCs w:val="28"/>
        </w:rPr>
        <w:t>tardo anti</w:t>
      </w:r>
      <w:r w:rsidRPr="0028077E">
        <w:rPr>
          <w:rFonts w:ascii="Times New Roman" w:hAnsi="Times New Roman"/>
          <w:sz w:val="28"/>
          <w:szCs w:val="28"/>
        </w:rPr>
        <w:t>ca, allorché le strutture organizzative  dell</w:t>
      </w:r>
      <w:r>
        <w:rPr>
          <w:rFonts w:ascii="Times New Roman" w:hAnsi="Times New Roman"/>
          <w:sz w:val="28"/>
          <w:szCs w:val="28"/>
        </w:rPr>
        <w:t>o</w:t>
      </w:r>
      <w:r w:rsidRPr="0028077E">
        <w:rPr>
          <w:rFonts w:ascii="Times New Roman" w:hAnsi="Times New Roman"/>
          <w:sz w:val="28"/>
          <w:szCs w:val="28"/>
        </w:rPr>
        <w:t xml:space="preserve"> </w:t>
      </w:r>
      <w:r>
        <w:rPr>
          <w:rFonts w:ascii="Times New Roman" w:hAnsi="Times New Roman"/>
          <w:iCs/>
          <w:sz w:val="28"/>
          <w:szCs w:val="28"/>
        </w:rPr>
        <w:t>S</w:t>
      </w:r>
      <w:r>
        <w:rPr>
          <w:rFonts w:ascii="Times New Roman" w:hAnsi="Times New Roman"/>
          <w:sz w:val="28"/>
          <w:szCs w:val="28"/>
        </w:rPr>
        <w:t>tato romano</w:t>
      </w:r>
      <w:r w:rsidRPr="0028077E">
        <w:rPr>
          <w:rFonts w:ascii="Times New Roman" w:hAnsi="Times New Roman"/>
          <w:sz w:val="28"/>
          <w:szCs w:val="28"/>
        </w:rPr>
        <w:t xml:space="preserve">  si  evolvono  definitivamen</w:t>
      </w:r>
      <w:r>
        <w:rPr>
          <w:rFonts w:ascii="Times New Roman" w:hAnsi="Times New Roman"/>
          <w:sz w:val="28"/>
          <w:szCs w:val="28"/>
        </w:rPr>
        <w:t xml:space="preserve">te  in  senso burocratico </w:t>
      </w:r>
      <w:r w:rsidRPr="0028077E">
        <w:rPr>
          <w:rFonts w:ascii="Times New Roman" w:hAnsi="Times New Roman"/>
          <w:sz w:val="28"/>
          <w:szCs w:val="28"/>
        </w:rPr>
        <w:t>accentrato e il sistema si trasforma in senso legislativo</w:t>
      </w:r>
      <w:r>
        <w:rPr>
          <w:rFonts w:ascii="Times New Roman" w:hAnsi="Times New Roman"/>
          <w:sz w:val="28"/>
          <w:szCs w:val="28"/>
        </w:rPr>
        <w:t xml:space="preserve"> </w:t>
      </w:r>
      <w:r w:rsidRPr="0028077E">
        <w:rPr>
          <w:rFonts w:ascii="Times New Roman" w:hAnsi="Times New Roman"/>
          <w:sz w:val="28"/>
          <w:szCs w:val="28"/>
        </w:rPr>
        <w:t>statuale</w:t>
      </w:r>
      <w:r>
        <w:rPr>
          <w:rFonts w:ascii="Times New Roman" w:hAnsi="Times New Roman"/>
          <w:sz w:val="28"/>
          <w:szCs w:val="28"/>
        </w:rPr>
        <w:t>, già nell’età precedente erano apparsi ‘</w:t>
      </w:r>
      <w:r w:rsidR="0026094C">
        <w:rPr>
          <w:rFonts w:ascii="Times New Roman" w:hAnsi="Times New Roman"/>
          <w:sz w:val="28"/>
          <w:szCs w:val="28"/>
        </w:rPr>
        <w:t>proto codici</w:t>
      </w:r>
      <w:r>
        <w:rPr>
          <w:rFonts w:ascii="Times New Roman" w:hAnsi="Times New Roman"/>
          <w:sz w:val="28"/>
          <w:szCs w:val="28"/>
        </w:rPr>
        <w:t>’ casistici e ancor prima il termine era stato impiegato in ambito librario</w:t>
      </w:r>
      <w:r w:rsidR="00C66DBC">
        <w:rPr>
          <w:rFonts w:ascii="Times New Roman" w:hAnsi="Times New Roman"/>
          <w:sz w:val="28"/>
          <w:szCs w:val="28"/>
        </w:rPr>
        <w:t xml:space="preserve"> per opere popolari e </w:t>
      </w:r>
      <w:r w:rsidR="00BE6AA0">
        <w:rPr>
          <w:rFonts w:ascii="Times New Roman" w:hAnsi="Times New Roman"/>
          <w:sz w:val="28"/>
          <w:szCs w:val="28"/>
        </w:rPr>
        <w:t xml:space="preserve">soprattutto </w:t>
      </w:r>
      <w:r w:rsidR="00C66DBC">
        <w:rPr>
          <w:rFonts w:ascii="Times New Roman" w:hAnsi="Times New Roman"/>
          <w:sz w:val="28"/>
          <w:szCs w:val="28"/>
        </w:rPr>
        <w:t>pratiche</w:t>
      </w:r>
      <w:r w:rsidRPr="0028077E">
        <w:rPr>
          <w:rFonts w:ascii="Times New Roman" w:hAnsi="Times New Roman"/>
          <w:sz w:val="28"/>
          <w:szCs w:val="28"/>
        </w:rPr>
        <w:t>.</w:t>
      </w:r>
    </w:p>
    <w:p w:rsidR="00A84031" w:rsidRDefault="00A84031" w:rsidP="0026094C">
      <w:pPr>
        <w:autoSpaceDE w:val="0"/>
        <w:autoSpaceDN w:val="0"/>
        <w:adjustRightInd w:val="0"/>
        <w:spacing w:after="0" w:line="240" w:lineRule="atLeast"/>
        <w:ind w:right="567"/>
        <w:rPr>
          <w:rFonts w:ascii="Times New Roman" w:hAnsi="Times New Roman"/>
          <w:sz w:val="28"/>
          <w:szCs w:val="28"/>
        </w:rPr>
      </w:pPr>
    </w:p>
    <w:p w:rsidR="00A84031" w:rsidRPr="00A84031" w:rsidRDefault="00A84031" w:rsidP="00A84031">
      <w:pPr>
        <w:pStyle w:val="Paragrafoelenco"/>
        <w:numPr>
          <w:ilvl w:val="0"/>
          <w:numId w:val="1"/>
        </w:numPr>
        <w:autoSpaceDE w:val="0"/>
        <w:autoSpaceDN w:val="0"/>
        <w:adjustRightInd w:val="0"/>
        <w:spacing w:after="0" w:line="240" w:lineRule="atLeast"/>
        <w:ind w:right="567"/>
        <w:rPr>
          <w:rFonts w:ascii="Times New Roman" w:hAnsi="Times New Roman"/>
          <w:sz w:val="28"/>
          <w:szCs w:val="28"/>
        </w:rPr>
      </w:pPr>
      <w:r>
        <w:rPr>
          <w:rFonts w:ascii="Times New Roman" w:hAnsi="Times New Roman"/>
          <w:sz w:val="28"/>
          <w:szCs w:val="28"/>
        </w:rPr>
        <w:t>Il formato codice.</w:t>
      </w:r>
    </w:p>
    <w:p w:rsidR="009A5379" w:rsidRDefault="009A5379" w:rsidP="0026094C">
      <w:pPr>
        <w:autoSpaceDE w:val="0"/>
        <w:autoSpaceDN w:val="0"/>
        <w:adjustRightInd w:val="0"/>
        <w:spacing w:after="0" w:line="240" w:lineRule="atLeast"/>
        <w:ind w:right="567"/>
        <w:rPr>
          <w:rFonts w:ascii="Times New Roman" w:hAnsi="Times New Roman"/>
          <w:sz w:val="28"/>
          <w:szCs w:val="28"/>
          <w:lang w:eastAsia="it-IT"/>
        </w:rPr>
      </w:pPr>
    </w:p>
    <w:p w:rsidR="00FA571A" w:rsidRDefault="00817FAD" w:rsidP="00A12492">
      <w:pPr>
        <w:spacing w:after="0" w:line="240" w:lineRule="atLeast"/>
        <w:ind w:right="567"/>
        <w:contextualSpacing/>
        <w:rPr>
          <w:rFonts w:ascii="Times New Roman" w:hAnsi="Times New Roman"/>
          <w:sz w:val="28"/>
          <w:szCs w:val="28"/>
        </w:rPr>
      </w:pPr>
      <w:r w:rsidRPr="00817FAD">
        <w:rPr>
          <w:rFonts w:ascii="Times New Roman" w:hAnsi="Times New Roman"/>
          <w:sz w:val="28"/>
          <w:szCs w:val="28"/>
        </w:rPr>
        <w:t>La tipolog</w:t>
      </w:r>
      <w:r w:rsidR="003A64AC">
        <w:rPr>
          <w:rFonts w:ascii="Times New Roman" w:hAnsi="Times New Roman"/>
          <w:sz w:val="28"/>
          <w:szCs w:val="28"/>
        </w:rPr>
        <w:t xml:space="preserve">ia del più antico libro romano </w:t>
      </w:r>
      <w:r w:rsidR="000321A1">
        <w:rPr>
          <w:rFonts w:ascii="Times New Roman" w:hAnsi="Times New Roman"/>
          <w:sz w:val="28"/>
          <w:szCs w:val="28"/>
        </w:rPr>
        <w:t>fu</w:t>
      </w:r>
      <w:r w:rsidR="003A64AC">
        <w:rPr>
          <w:rFonts w:ascii="Times New Roman" w:hAnsi="Times New Roman"/>
          <w:sz w:val="28"/>
          <w:szCs w:val="28"/>
        </w:rPr>
        <w:t xml:space="preserve">  </w:t>
      </w:r>
      <w:r w:rsidR="0026094C">
        <w:rPr>
          <w:rFonts w:ascii="Times New Roman" w:hAnsi="Times New Roman"/>
          <w:sz w:val="28"/>
          <w:szCs w:val="28"/>
        </w:rPr>
        <w:t xml:space="preserve">infatti </w:t>
      </w:r>
      <w:r w:rsidR="003A64AC">
        <w:rPr>
          <w:rFonts w:ascii="Times New Roman" w:hAnsi="Times New Roman"/>
          <w:sz w:val="28"/>
          <w:szCs w:val="28"/>
        </w:rPr>
        <w:t xml:space="preserve">quella del </w:t>
      </w:r>
      <w:r w:rsidR="000321A1">
        <w:rPr>
          <w:rFonts w:ascii="Times New Roman" w:hAnsi="Times New Roman"/>
          <w:sz w:val="28"/>
          <w:szCs w:val="28"/>
        </w:rPr>
        <w:t>codice</w:t>
      </w:r>
      <w:r w:rsidR="00A53C82">
        <w:rPr>
          <w:rFonts w:ascii="Times New Roman" w:hAnsi="Times New Roman"/>
          <w:sz w:val="28"/>
          <w:szCs w:val="28"/>
        </w:rPr>
        <w:t xml:space="preserve">, termine che trae origine dall’espressione </w:t>
      </w:r>
      <w:r w:rsidR="008E7100">
        <w:rPr>
          <w:rFonts w:ascii="Times New Roman" w:hAnsi="Times New Roman"/>
          <w:sz w:val="28"/>
          <w:szCs w:val="28"/>
        </w:rPr>
        <w:t xml:space="preserve">latina </w:t>
      </w:r>
      <w:proofErr w:type="spellStart"/>
      <w:r w:rsidR="000B1716">
        <w:rPr>
          <w:rFonts w:ascii="Times New Roman" w:hAnsi="Times New Roman"/>
          <w:i/>
          <w:sz w:val="28"/>
          <w:szCs w:val="28"/>
        </w:rPr>
        <w:t>caudex</w:t>
      </w:r>
      <w:proofErr w:type="spellEnd"/>
      <w:r w:rsidR="000B1716">
        <w:rPr>
          <w:rFonts w:ascii="Times New Roman" w:hAnsi="Times New Roman"/>
          <w:i/>
          <w:sz w:val="28"/>
          <w:szCs w:val="28"/>
        </w:rPr>
        <w:t xml:space="preserve"> </w:t>
      </w:r>
      <w:r w:rsidR="00A53C82">
        <w:rPr>
          <w:rFonts w:ascii="Times New Roman" w:hAnsi="Times New Roman"/>
          <w:sz w:val="28"/>
          <w:szCs w:val="28"/>
        </w:rPr>
        <w:t>utilizzata per indicare un tronco</w:t>
      </w:r>
      <w:r w:rsidR="00393665" w:rsidRPr="00393665">
        <w:rPr>
          <w:rFonts w:ascii="Times New Roman" w:hAnsi="Times New Roman"/>
          <w:sz w:val="28"/>
          <w:szCs w:val="28"/>
        </w:rPr>
        <w:t xml:space="preserve"> </w:t>
      </w:r>
      <w:r w:rsidR="00393665">
        <w:rPr>
          <w:rFonts w:ascii="Times New Roman" w:hAnsi="Times New Roman"/>
          <w:sz w:val="28"/>
          <w:szCs w:val="28"/>
        </w:rPr>
        <w:t>di legno</w:t>
      </w:r>
      <w:r w:rsidR="00A53C82">
        <w:rPr>
          <w:rFonts w:ascii="Times New Roman" w:hAnsi="Times New Roman"/>
          <w:sz w:val="28"/>
          <w:szCs w:val="28"/>
        </w:rPr>
        <w:t xml:space="preserve">, </w:t>
      </w:r>
      <w:r w:rsidR="000B1716">
        <w:rPr>
          <w:rFonts w:ascii="Times New Roman" w:hAnsi="Times New Roman"/>
          <w:sz w:val="28"/>
          <w:szCs w:val="28"/>
        </w:rPr>
        <w:t>come indica il fatto che l</w:t>
      </w:r>
      <w:r w:rsidR="000B1716" w:rsidRPr="000B1716">
        <w:rPr>
          <w:rFonts w:ascii="Times New Roman" w:hAnsi="Times New Roman"/>
          <w:sz w:val="28"/>
          <w:szCs w:val="28"/>
        </w:rPr>
        <w:t xml:space="preserve">a traslitterazione greca </w:t>
      </w:r>
      <w:proofErr w:type="spellStart"/>
      <w:r w:rsidR="000B1716" w:rsidRPr="00D55786">
        <w:rPr>
          <w:rFonts w:ascii="Greek" w:hAnsi="Greek"/>
          <w:iCs/>
          <w:sz w:val="28"/>
          <w:szCs w:val="28"/>
        </w:rPr>
        <w:t>k</w:t>
      </w:r>
      <w:r w:rsidR="00EA4F48" w:rsidRPr="00D55786">
        <w:rPr>
          <w:rFonts w:ascii="Greek" w:hAnsi="Greek"/>
          <w:iCs/>
          <w:sz w:val="28"/>
          <w:szCs w:val="28"/>
        </w:rPr>
        <w:t>î</w:t>
      </w:r>
      <w:r w:rsidR="000B1716" w:rsidRPr="00D55786">
        <w:rPr>
          <w:rFonts w:ascii="Greek" w:hAnsi="Greek"/>
          <w:iCs/>
          <w:sz w:val="28"/>
          <w:szCs w:val="28"/>
        </w:rPr>
        <w:t>dix</w:t>
      </w:r>
      <w:proofErr w:type="spellEnd"/>
      <w:r w:rsidR="000B1716" w:rsidRPr="00D55786">
        <w:rPr>
          <w:rFonts w:ascii="Greek" w:hAnsi="Greek" w:cs="Arial"/>
        </w:rPr>
        <w:t xml:space="preserve"> </w:t>
      </w:r>
      <w:r w:rsidR="00EA4F48">
        <w:rPr>
          <w:rFonts w:ascii="Times New Roman" w:hAnsi="Times New Roman"/>
          <w:sz w:val="28"/>
          <w:szCs w:val="28"/>
        </w:rPr>
        <w:t>sia</w:t>
      </w:r>
      <w:r w:rsidR="000B1716" w:rsidRPr="000B1716">
        <w:rPr>
          <w:rFonts w:ascii="Times New Roman" w:hAnsi="Times New Roman"/>
          <w:sz w:val="28"/>
          <w:szCs w:val="28"/>
        </w:rPr>
        <w:t xml:space="preserve"> relativamente tarda</w:t>
      </w:r>
      <w:r w:rsidR="00EA4F48">
        <w:rPr>
          <w:rFonts w:ascii="Times New Roman" w:hAnsi="Times New Roman"/>
          <w:sz w:val="28"/>
          <w:szCs w:val="28"/>
        </w:rPr>
        <w:t>.</w:t>
      </w:r>
      <w:r w:rsidR="000B1716">
        <w:rPr>
          <w:rFonts w:ascii="Times New Roman" w:hAnsi="Times New Roman"/>
          <w:sz w:val="28"/>
          <w:szCs w:val="28"/>
        </w:rPr>
        <w:t xml:space="preserve"> </w:t>
      </w:r>
      <w:r w:rsidR="00EA4F48">
        <w:rPr>
          <w:rFonts w:ascii="Times New Roman" w:hAnsi="Times New Roman"/>
          <w:sz w:val="28"/>
          <w:szCs w:val="28"/>
        </w:rPr>
        <w:t>Q</w:t>
      </w:r>
      <w:r w:rsidR="001B00CD">
        <w:rPr>
          <w:rFonts w:ascii="Times New Roman" w:hAnsi="Times New Roman"/>
          <w:sz w:val="28"/>
          <w:szCs w:val="28"/>
        </w:rPr>
        <w:t xml:space="preserve">uindi </w:t>
      </w:r>
      <w:r w:rsidR="00655E26">
        <w:rPr>
          <w:rFonts w:ascii="Times New Roman" w:hAnsi="Times New Roman"/>
          <w:sz w:val="28"/>
          <w:szCs w:val="28"/>
        </w:rPr>
        <w:t xml:space="preserve">essa </w:t>
      </w:r>
      <w:r w:rsidR="00EA4F48">
        <w:rPr>
          <w:rFonts w:ascii="Times New Roman" w:hAnsi="Times New Roman"/>
          <w:sz w:val="28"/>
          <w:szCs w:val="28"/>
        </w:rPr>
        <w:t xml:space="preserve">denotava </w:t>
      </w:r>
      <w:r w:rsidR="00911F20">
        <w:rPr>
          <w:rFonts w:ascii="Times New Roman" w:hAnsi="Times New Roman"/>
          <w:sz w:val="28"/>
          <w:szCs w:val="28"/>
        </w:rPr>
        <w:t>un insieme di tavolette</w:t>
      </w:r>
      <w:r w:rsidR="00393665">
        <w:rPr>
          <w:rFonts w:ascii="Times New Roman" w:hAnsi="Times New Roman"/>
          <w:sz w:val="28"/>
          <w:szCs w:val="28"/>
        </w:rPr>
        <w:t xml:space="preserve"> unite </w:t>
      </w:r>
      <w:r w:rsidR="00186B9A">
        <w:rPr>
          <w:rFonts w:ascii="Times New Roman" w:hAnsi="Times New Roman"/>
          <w:sz w:val="28"/>
          <w:szCs w:val="28"/>
        </w:rPr>
        <w:t>per</w:t>
      </w:r>
      <w:r w:rsidR="00393665">
        <w:rPr>
          <w:rFonts w:ascii="Times New Roman" w:hAnsi="Times New Roman"/>
          <w:sz w:val="28"/>
          <w:szCs w:val="28"/>
        </w:rPr>
        <w:t xml:space="preserve"> un lato da legamenti</w:t>
      </w:r>
      <w:r w:rsidR="00911F20">
        <w:rPr>
          <w:rFonts w:ascii="Times New Roman" w:hAnsi="Times New Roman"/>
          <w:sz w:val="28"/>
          <w:szCs w:val="28"/>
        </w:rPr>
        <w:t xml:space="preserve">, come quelle delineate, ma non ancora </w:t>
      </w:r>
      <w:r w:rsidR="00D07C75">
        <w:rPr>
          <w:rFonts w:ascii="Times New Roman" w:hAnsi="Times New Roman"/>
          <w:sz w:val="28"/>
          <w:szCs w:val="28"/>
        </w:rPr>
        <w:t>di</w:t>
      </w:r>
      <w:r w:rsidR="00911F20">
        <w:rPr>
          <w:rFonts w:ascii="Times New Roman" w:hAnsi="Times New Roman"/>
          <w:sz w:val="28"/>
          <w:szCs w:val="28"/>
        </w:rPr>
        <w:t>staccate</w:t>
      </w:r>
      <w:r w:rsidR="001B00CD">
        <w:rPr>
          <w:rFonts w:ascii="Times New Roman" w:hAnsi="Times New Roman"/>
          <w:sz w:val="28"/>
          <w:szCs w:val="28"/>
        </w:rPr>
        <w:t>,</w:t>
      </w:r>
      <w:r w:rsidR="00911F20">
        <w:rPr>
          <w:rFonts w:ascii="Times New Roman" w:hAnsi="Times New Roman"/>
          <w:sz w:val="28"/>
          <w:szCs w:val="28"/>
        </w:rPr>
        <w:t xml:space="preserve"> </w:t>
      </w:r>
      <w:r w:rsidR="009D7F0C">
        <w:rPr>
          <w:rFonts w:ascii="Times New Roman" w:hAnsi="Times New Roman"/>
          <w:sz w:val="28"/>
          <w:szCs w:val="28"/>
        </w:rPr>
        <w:t xml:space="preserve">tracciate </w:t>
      </w:r>
      <w:r w:rsidR="001B00CD">
        <w:rPr>
          <w:rFonts w:ascii="Times New Roman" w:hAnsi="Times New Roman"/>
          <w:sz w:val="28"/>
          <w:szCs w:val="28"/>
        </w:rPr>
        <w:t xml:space="preserve">su </w:t>
      </w:r>
      <w:r w:rsidR="00911F20">
        <w:rPr>
          <w:rFonts w:ascii="Times New Roman" w:hAnsi="Times New Roman"/>
          <w:sz w:val="28"/>
          <w:szCs w:val="28"/>
        </w:rPr>
        <w:t xml:space="preserve">di un </w:t>
      </w:r>
      <w:r w:rsidR="001B00CD">
        <w:rPr>
          <w:rFonts w:ascii="Times New Roman" w:hAnsi="Times New Roman"/>
          <w:sz w:val="28"/>
          <w:szCs w:val="28"/>
        </w:rPr>
        <w:t>blocco ligneo</w:t>
      </w:r>
      <w:r w:rsidR="00911F20">
        <w:rPr>
          <w:rFonts w:ascii="Times New Roman" w:hAnsi="Times New Roman"/>
          <w:sz w:val="28"/>
          <w:szCs w:val="28"/>
        </w:rPr>
        <w:t xml:space="preserve"> </w:t>
      </w:r>
      <w:r w:rsidR="00FD6644">
        <w:rPr>
          <w:rFonts w:ascii="Times New Roman" w:hAnsi="Times New Roman"/>
          <w:sz w:val="28"/>
          <w:szCs w:val="28"/>
        </w:rPr>
        <w:t>del</w:t>
      </w:r>
      <w:r w:rsidR="00FD6644" w:rsidRPr="00911F20">
        <w:rPr>
          <w:rFonts w:ascii="Times New Roman" w:hAnsi="Times New Roman"/>
          <w:sz w:val="28"/>
          <w:szCs w:val="28"/>
        </w:rPr>
        <w:t xml:space="preserve"> 360 d.C.</w:t>
      </w:r>
      <w:r w:rsidR="00FD6644">
        <w:rPr>
          <w:rFonts w:ascii="Times New Roman" w:hAnsi="Times New Roman"/>
          <w:sz w:val="28"/>
          <w:szCs w:val="28"/>
        </w:rPr>
        <w:t xml:space="preserve"> ca.</w:t>
      </w:r>
      <w:r w:rsidR="001B00CD">
        <w:rPr>
          <w:rFonts w:ascii="Times New Roman" w:hAnsi="Times New Roman"/>
          <w:sz w:val="28"/>
          <w:szCs w:val="28"/>
        </w:rPr>
        <w:t>,</w:t>
      </w:r>
      <w:r w:rsidR="00FD6644">
        <w:rPr>
          <w:rFonts w:ascii="Times New Roman" w:hAnsi="Times New Roman"/>
          <w:sz w:val="28"/>
          <w:szCs w:val="28"/>
        </w:rPr>
        <w:t xml:space="preserve"> </w:t>
      </w:r>
      <w:r w:rsidR="00393665">
        <w:rPr>
          <w:rFonts w:ascii="Times New Roman" w:hAnsi="Times New Roman"/>
          <w:sz w:val="28"/>
          <w:szCs w:val="28"/>
        </w:rPr>
        <w:t xml:space="preserve">proveniente </w:t>
      </w:r>
      <w:r w:rsidR="00911F20">
        <w:rPr>
          <w:rFonts w:ascii="Times New Roman" w:hAnsi="Times New Roman"/>
          <w:sz w:val="28"/>
          <w:szCs w:val="28"/>
        </w:rPr>
        <w:t xml:space="preserve">da </w:t>
      </w:r>
      <w:r w:rsidR="00911F20" w:rsidRPr="00911F20">
        <w:rPr>
          <w:rFonts w:ascii="Times New Roman" w:hAnsi="Times New Roman"/>
          <w:sz w:val="28"/>
          <w:szCs w:val="28"/>
        </w:rPr>
        <w:t xml:space="preserve">una fattoria </w:t>
      </w:r>
      <w:r w:rsidR="00FD6644">
        <w:rPr>
          <w:rFonts w:ascii="Times New Roman" w:hAnsi="Times New Roman"/>
          <w:sz w:val="28"/>
          <w:szCs w:val="28"/>
        </w:rPr>
        <w:t xml:space="preserve">dell’oasi di </w:t>
      </w:r>
      <w:proofErr w:type="spellStart"/>
      <w:r w:rsidR="00FD6644">
        <w:rPr>
          <w:rFonts w:ascii="Times New Roman" w:hAnsi="Times New Roman"/>
          <w:sz w:val="28"/>
          <w:szCs w:val="28"/>
        </w:rPr>
        <w:t>Dakhla</w:t>
      </w:r>
      <w:proofErr w:type="spellEnd"/>
      <w:r w:rsidR="00FD6644">
        <w:rPr>
          <w:rFonts w:ascii="Times New Roman" w:hAnsi="Times New Roman"/>
          <w:sz w:val="28"/>
          <w:szCs w:val="28"/>
        </w:rPr>
        <w:t xml:space="preserve"> </w:t>
      </w:r>
      <w:r w:rsidR="00D07C75">
        <w:rPr>
          <w:rFonts w:ascii="Times New Roman" w:hAnsi="Times New Roman"/>
          <w:sz w:val="28"/>
          <w:szCs w:val="28"/>
        </w:rPr>
        <w:t>n</w:t>
      </w:r>
      <w:r w:rsidR="00FD6644">
        <w:rPr>
          <w:rFonts w:ascii="Times New Roman" w:hAnsi="Times New Roman"/>
          <w:sz w:val="28"/>
          <w:szCs w:val="28"/>
        </w:rPr>
        <w:t>el deserto o</w:t>
      </w:r>
      <w:r w:rsidR="00D07C75">
        <w:rPr>
          <w:rFonts w:ascii="Times New Roman" w:hAnsi="Times New Roman"/>
          <w:sz w:val="28"/>
          <w:szCs w:val="28"/>
        </w:rPr>
        <w:t>ccid</w:t>
      </w:r>
      <w:r w:rsidR="00FD6644">
        <w:rPr>
          <w:rFonts w:ascii="Times New Roman" w:hAnsi="Times New Roman"/>
          <w:sz w:val="28"/>
          <w:szCs w:val="28"/>
        </w:rPr>
        <w:t>entale egiziano</w:t>
      </w:r>
      <w:r w:rsidR="00911F20" w:rsidRPr="00911F20">
        <w:rPr>
          <w:rStyle w:val="Rimandonotaapidipagina"/>
          <w:rFonts w:ascii="Times New Roman" w:hAnsi="Times New Roman"/>
          <w:sz w:val="28"/>
          <w:szCs w:val="28"/>
        </w:rPr>
        <w:footnoteReference w:id="7"/>
      </w:r>
      <w:r w:rsidR="00655E26">
        <w:rPr>
          <w:rFonts w:ascii="Times New Roman" w:hAnsi="Times New Roman"/>
          <w:sz w:val="28"/>
          <w:szCs w:val="28"/>
        </w:rPr>
        <w:t xml:space="preserve">, originariamente un codice documentario, prima </w:t>
      </w:r>
      <w:r w:rsidR="00CB0F3D">
        <w:rPr>
          <w:rFonts w:ascii="Times New Roman" w:hAnsi="Times New Roman"/>
          <w:sz w:val="28"/>
          <w:szCs w:val="28"/>
        </w:rPr>
        <w:t xml:space="preserve">ancora </w:t>
      </w:r>
      <w:r w:rsidR="00655E26">
        <w:rPr>
          <w:rFonts w:ascii="Times New Roman" w:hAnsi="Times New Roman"/>
          <w:sz w:val="28"/>
          <w:szCs w:val="28"/>
        </w:rPr>
        <w:t>che letterario</w:t>
      </w:r>
      <w:r w:rsidR="00FD6644">
        <w:rPr>
          <w:rFonts w:ascii="Times New Roman" w:hAnsi="Times New Roman"/>
          <w:sz w:val="28"/>
          <w:szCs w:val="28"/>
        </w:rPr>
        <w:t>.</w:t>
      </w:r>
      <w:r w:rsidR="00FA571A">
        <w:rPr>
          <w:rFonts w:ascii="Times New Roman" w:hAnsi="Times New Roman"/>
          <w:sz w:val="28"/>
          <w:szCs w:val="28"/>
        </w:rPr>
        <w:t xml:space="preserve"> </w:t>
      </w:r>
      <w:r w:rsidR="000321A1">
        <w:rPr>
          <w:rFonts w:ascii="Times New Roman" w:hAnsi="Times New Roman"/>
          <w:sz w:val="28"/>
          <w:szCs w:val="28"/>
        </w:rPr>
        <w:t xml:space="preserve">I </w:t>
      </w:r>
      <w:r w:rsidR="000321A1" w:rsidRPr="000321A1">
        <w:rPr>
          <w:rFonts w:ascii="Times New Roman" w:hAnsi="Times New Roman"/>
          <w:i/>
          <w:sz w:val="28"/>
          <w:szCs w:val="28"/>
        </w:rPr>
        <w:t xml:space="preserve">libri </w:t>
      </w:r>
      <w:proofErr w:type="spellStart"/>
      <w:r w:rsidR="000321A1" w:rsidRPr="000321A1">
        <w:rPr>
          <w:rFonts w:ascii="Times New Roman" w:hAnsi="Times New Roman"/>
          <w:i/>
          <w:sz w:val="28"/>
          <w:szCs w:val="28"/>
        </w:rPr>
        <w:t>lintei</w:t>
      </w:r>
      <w:proofErr w:type="spellEnd"/>
      <w:r w:rsidR="000321A1">
        <w:rPr>
          <w:rFonts w:ascii="Times New Roman" w:hAnsi="Times New Roman"/>
          <w:sz w:val="28"/>
          <w:szCs w:val="28"/>
        </w:rPr>
        <w:t xml:space="preserve"> infatti</w:t>
      </w:r>
      <w:r w:rsidR="009B5A5D">
        <w:rPr>
          <w:rFonts w:ascii="Times New Roman" w:hAnsi="Times New Roman"/>
          <w:sz w:val="28"/>
          <w:szCs w:val="28"/>
        </w:rPr>
        <w:t>, che</w:t>
      </w:r>
      <w:r w:rsidR="000321A1">
        <w:rPr>
          <w:rFonts w:ascii="Times New Roman" w:hAnsi="Times New Roman"/>
          <w:sz w:val="28"/>
          <w:szCs w:val="28"/>
        </w:rPr>
        <w:t xml:space="preserve"> </w:t>
      </w:r>
      <w:r w:rsidR="009C4CF4">
        <w:rPr>
          <w:rFonts w:ascii="Times New Roman" w:hAnsi="Times New Roman"/>
          <w:sz w:val="28"/>
          <w:szCs w:val="28"/>
        </w:rPr>
        <w:t>presentavano una struttura 'a soffietto'</w:t>
      </w:r>
      <w:r w:rsidR="00393665">
        <w:rPr>
          <w:rFonts w:ascii="Times New Roman" w:hAnsi="Times New Roman"/>
          <w:sz w:val="28"/>
          <w:szCs w:val="28"/>
        </w:rPr>
        <w:t xml:space="preserve"> ripiegata </w:t>
      </w:r>
      <w:r w:rsidR="001B00CD">
        <w:rPr>
          <w:rFonts w:ascii="Times New Roman" w:hAnsi="Times New Roman"/>
          <w:sz w:val="28"/>
          <w:szCs w:val="28"/>
        </w:rPr>
        <w:t xml:space="preserve">in ultimo </w:t>
      </w:r>
      <w:r w:rsidR="00393665">
        <w:rPr>
          <w:rFonts w:ascii="Times New Roman" w:hAnsi="Times New Roman"/>
          <w:sz w:val="28"/>
          <w:szCs w:val="28"/>
        </w:rPr>
        <w:t>a forma di codice</w:t>
      </w:r>
      <w:r w:rsidR="00655E26">
        <w:rPr>
          <w:rStyle w:val="Rimandonotaapidipagina"/>
          <w:rFonts w:ascii="Times New Roman" w:hAnsi="Times New Roman"/>
          <w:sz w:val="28"/>
          <w:szCs w:val="28"/>
        </w:rPr>
        <w:footnoteReference w:id="8"/>
      </w:r>
      <w:r w:rsidR="009B5A5D">
        <w:rPr>
          <w:rFonts w:ascii="Times New Roman" w:hAnsi="Times New Roman"/>
          <w:sz w:val="28"/>
          <w:szCs w:val="28"/>
        </w:rPr>
        <w:t>, erano certamente tanto antichi, quanto i codici lignei</w:t>
      </w:r>
      <w:r w:rsidR="00D21899">
        <w:rPr>
          <w:rFonts w:ascii="Times New Roman" w:hAnsi="Times New Roman"/>
          <w:sz w:val="28"/>
          <w:szCs w:val="28"/>
        </w:rPr>
        <w:t xml:space="preserve"> di </w:t>
      </w:r>
      <w:r w:rsidR="00FD6644">
        <w:rPr>
          <w:rFonts w:ascii="Times New Roman" w:hAnsi="Times New Roman"/>
          <w:sz w:val="28"/>
          <w:szCs w:val="28"/>
        </w:rPr>
        <w:t xml:space="preserve">assai </w:t>
      </w:r>
      <w:r w:rsidR="00D21899">
        <w:rPr>
          <w:rFonts w:ascii="Times New Roman" w:hAnsi="Times New Roman"/>
          <w:sz w:val="28"/>
          <w:szCs w:val="28"/>
        </w:rPr>
        <w:t xml:space="preserve">remota </w:t>
      </w:r>
      <w:r w:rsidR="00D6444E">
        <w:rPr>
          <w:rFonts w:ascii="Times New Roman" w:hAnsi="Times New Roman"/>
          <w:sz w:val="28"/>
          <w:szCs w:val="28"/>
        </w:rPr>
        <w:t>origine</w:t>
      </w:r>
      <w:r w:rsidR="00530C6E">
        <w:rPr>
          <w:rStyle w:val="Rimandonotaapidipagina"/>
          <w:rFonts w:ascii="Times New Roman" w:hAnsi="Times New Roman"/>
          <w:sz w:val="28"/>
          <w:szCs w:val="28"/>
        </w:rPr>
        <w:footnoteReference w:id="9"/>
      </w:r>
      <w:r w:rsidR="009B5A5D">
        <w:rPr>
          <w:rFonts w:ascii="Times New Roman" w:hAnsi="Times New Roman"/>
          <w:sz w:val="28"/>
          <w:szCs w:val="28"/>
        </w:rPr>
        <w:t xml:space="preserve">. </w:t>
      </w:r>
      <w:r w:rsidR="009B5A5D" w:rsidRPr="009B5A5D">
        <w:rPr>
          <w:rFonts w:ascii="Times New Roman" w:hAnsi="Times New Roman"/>
          <w:sz w:val="28"/>
          <w:szCs w:val="28"/>
        </w:rPr>
        <w:t xml:space="preserve">Sembra </w:t>
      </w:r>
      <w:r w:rsidR="009B5A5D">
        <w:rPr>
          <w:rFonts w:ascii="Times New Roman" w:hAnsi="Times New Roman"/>
          <w:sz w:val="28"/>
          <w:szCs w:val="28"/>
        </w:rPr>
        <w:t xml:space="preserve">infatti </w:t>
      </w:r>
      <w:r w:rsidR="009B5A5D" w:rsidRPr="009B5A5D">
        <w:rPr>
          <w:rFonts w:ascii="Times New Roman" w:hAnsi="Times New Roman"/>
          <w:sz w:val="28"/>
          <w:szCs w:val="28"/>
        </w:rPr>
        <w:t>confermata</w:t>
      </w:r>
      <w:r w:rsidR="009B5A5D">
        <w:rPr>
          <w:rFonts w:ascii="Times New Roman" w:hAnsi="Times New Roman"/>
          <w:sz w:val="28"/>
          <w:szCs w:val="28"/>
        </w:rPr>
        <w:t xml:space="preserve"> </w:t>
      </w:r>
      <w:r w:rsidR="009B5A5D" w:rsidRPr="009B5A5D">
        <w:rPr>
          <w:rFonts w:ascii="Times New Roman" w:hAnsi="Times New Roman"/>
          <w:sz w:val="28"/>
          <w:szCs w:val="28"/>
        </w:rPr>
        <w:t>la</w:t>
      </w:r>
      <w:r w:rsidR="009B5A5D">
        <w:rPr>
          <w:rFonts w:ascii="Times New Roman" w:hAnsi="Times New Roman"/>
          <w:sz w:val="28"/>
          <w:szCs w:val="28"/>
        </w:rPr>
        <w:t xml:space="preserve"> </w:t>
      </w:r>
      <w:r w:rsidR="009B5A5D" w:rsidRPr="009B5A5D">
        <w:rPr>
          <w:rFonts w:ascii="Times New Roman" w:hAnsi="Times New Roman"/>
          <w:sz w:val="28"/>
          <w:szCs w:val="28"/>
        </w:rPr>
        <w:t>notizia</w:t>
      </w:r>
      <w:r w:rsidR="009B5A5D">
        <w:rPr>
          <w:rFonts w:ascii="Times New Roman" w:hAnsi="Times New Roman"/>
          <w:sz w:val="28"/>
          <w:szCs w:val="28"/>
        </w:rPr>
        <w:t xml:space="preserve"> </w:t>
      </w:r>
      <w:r w:rsidR="009B5A5D" w:rsidRPr="009B5A5D">
        <w:rPr>
          <w:rFonts w:ascii="Times New Roman" w:hAnsi="Times New Roman"/>
          <w:sz w:val="28"/>
          <w:szCs w:val="28"/>
        </w:rPr>
        <w:t>di</w:t>
      </w:r>
      <w:r w:rsidR="009B5A5D">
        <w:rPr>
          <w:rFonts w:ascii="Times New Roman" w:hAnsi="Times New Roman"/>
          <w:sz w:val="28"/>
          <w:szCs w:val="28"/>
        </w:rPr>
        <w:t xml:space="preserve"> </w:t>
      </w:r>
      <w:r w:rsidR="009B5A5D" w:rsidRPr="009B5A5D">
        <w:rPr>
          <w:rFonts w:ascii="Times New Roman" w:hAnsi="Times New Roman"/>
          <w:sz w:val="28"/>
          <w:szCs w:val="28"/>
        </w:rPr>
        <w:lastRenderedPageBreak/>
        <w:t>Plinio</w:t>
      </w:r>
      <w:r w:rsidR="009B5A5D">
        <w:rPr>
          <w:rFonts w:ascii="Times New Roman" w:hAnsi="Times New Roman"/>
          <w:sz w:val="28"/>
          <w:szCs w:val="28"/>
        </w:rPr>
        <w:t xml:space="preserve"> r</w:t>
      </w:r>
      <w:r w:rsidR="009B5A5D" w:rsidRPr="009B5A5D">
        <w:rPr>
          <w:rFonts w:ascii="Times New Roman" w:hAnsi="Times New Roman"/>
          <w:sz w:val="28"/>
          <w:szCs w:val="28"/>
        </w:rPr>
        <w:t>elati</w:t>
      </w:r>
      <w:r w:rsidR="009B5A5D">
        <w:rPr>
          <w:rFonts w:ascii="Times New Roman" w:hAnsi="Times New Roman"/>
          <w:sz w:val="28"/>
          <w:szCs w:val="28"/>
        </w:rPr>
        <w:t xml:space="preserve">va all’antichità dei libri su </w:t>
      </w:r>
      <w:r w:rsidR="009B5A5D" w:rsidRPr="009B5A5D">
        <w:rPr>
          <w:rFonts w:ascii="Times New Roman" w:hAnsi="Times New Roman"/>
          <w:sz w:val="28"/>
          <w:szCs w:val="28"/>
        </w:rPr>
        <w:t>tessuto di lino</w:t>
      </w:r>
      <w:r w:rsidR="009B5A5D">
        <w:rPr>
          <w:rFonts w:ascii="Times New Roman" w:hAnsi="Times New Roman"/>
          <w:sz w:val="28"/>
          <w:szCs w:val="28"/>
        </w:rPr>
        <w:t xml:space="preserve">, </w:t>
      </w:r>
      <w:r w:rsidR="009B5A5D" w:rsidRPr="009B5A5D">
        <w:rPr>
          <w:rFonts w:ascii="Times New Roman" w:hAnsi="Times New Roman"/>
          <w:sz w:val="28"/>
          <w:szCs w:val="28"/>
        </w:rPr>
        <w:t>materiale</w:t>
      </w:r>
      <w:r w:rsidR="009B5A5D">
        <w:rPr>
          <w:rFonts w:ascii="Times New Roman" w:hAnsi="Times New Roman"/>
          <w:sz w:val="28"/>
          <w:szCs w:val="28"/>
        </w:rPr>
        <w:t xml:space="preserve"> </w:t>
      </w:r>
      <w:r w:rsidR="009B5A5D" w:rsidRPr="009B5A5D">
        <w:rPr>
          <w:rFonts w:ascii="Times New Roman" w:hAnsi="Times New Roman"/>
          <w:sz w:val="28"/>
          <w:szCs w:val="28"/>
        </w:rPr>
        <w:t>scrittorio</w:t>
      </w:r>
      <w:r w:rsidR="009B5A5D">
        <w:rPr>
          <w:rFonts w:ascii="Times New Roman" w:hAnsi="Times New Roman"/>
          <w:sz w:val="28"/>
          <w:szCs w:val="28"/>
        </w:rPr>
        <w:t xml:space="preserve"> </w:t>
      </w:r>
      <w:r w:rsidR="009B5A5D" w:rsidRPr="009B5A5D">
        <w:rPr>
          <w:rFonts w:ascii="Times New Roman" w:hAnsi="Times New Roman"/>
          <w:sz w:val="28"/>
          <w:szCs w:val="28"/>
        </w:rPr>
        <w:t>prevalentemente</w:t>
      </w:r>
      <w:r w:rsidR="009B5A5D">
        <w:rPr>
          <w:rFonts w:ascii="Times New Roman" w:hAnsi="Times New Roman"/>
          <w:sz w:val="28"/>
          <w:szCs w:val="28"/>
        </w:rPr>
        <w:t xml:space="preserve"> </w:t>
      </w:r>
      <w:r w:rsidR="009B5A5D" w:rsidRPr="009B5A5D">
        <w:rPr>
          <w:rFonts w:ascii="Times New Roman" w:hAnsi="Times New Roman"/>
          <w:sz w:val="28"/>
          <w:szCs w:val="28"/>
        </w:rPr>
        <w:t>italico</w:t>
      </w:r>
      <w:r w:rsidR="009B5A5D">
        <w:rPr>
          <w:rFonts w:ascii="Times New Roman" w:hAnsi="Times New Roman"/>
          <w:sz w:val="28"/>
          <w:szCs w:val="28"/>
        </w:rPr>
        <w:t xml:space="preserve"> </w:t>
      </w:r>
      <w:r w:rsidR="009B5A5D" w:rsidRPr="009B5A5D">
        <w:rPr>
          <w:rFonts w:ascii="Times New Roman" w:hAnsi="Times New Roman"/>
          <w:sz w:val="28"/>
          <w:szCs w:val="28"/>
        </w:rPr>
        <w:t>collegato all’impiego sacrale di tale pianta.  Livio afferma che testi  di tal  genere  erano  conservati a Roma nel 344</w:t>
      </w:r>
      <w:r w:rsidR="009B5A5D">
        <w:rPr>
          <w:rFonts w:ascii="Times New Roman" w:hAnsi="Times New Roman"/>
          <w:sz w:val="28"/>
          <w:szCs w:val="28"/>
        </w:rPr>
        <w:t xml:space="preserve"> a.C.</w:t>
      </w:r>
      <w:r w:rsidR="009B5A5D" w:rsidRPr="009B5A5D">
        <w:rPr>
          <w:rFonts w:ascii="Times New Roman" w:hAnsi="Times New Roman"/>
          <w:sz w:val="28"/>
          <w:szCs w:val="28"/>
        </w:rPr>
        <w:t xml:space="preserve"> come </w:t>
      </w:r>
      <w:r w:rsidR="009B5A5D" w:rsidRPr="009B5A5D">
        <w:rPr>
          <w:rFonts w:ascii="Times New Roman" w:hAnsi="Times New Roman"/>
          <w:i/>
          <w:sz w:val="28"/>
          <w:szCs w:val="28"/>
        </w:rPr>
        <w:t>libri</w:t>
      </w:r>
      <w:r w:rsidR="009B5A5D" w:rsidRPr="009B5A5D">
        <w:rPr>
          <w:rFonts w:ascii="Times New Roman" w:hAnsi="Times New Roman"/>
          <w:sz w:val="28"/>
          <w:szCs w:val="28"/>
        </w:rPr>
        <w:t xml:space="preserve"> </w:t>
      </w:r>
      <w:proofErr w:type="spellStart"/>
      <w:r w:rsidR="009B5A5D" w:rsidRPr="009B5A5D">
        <w:rPr>
          <w:rFonts w:ascii="Times New Roman" w:hAnsi="Times New Roman"/>
          <w:i/>
          <w:sz w:val="28"/>
          <w:szCs w:val="28"/>
        </w:rPr>
        <w:t>magistratuum</w:t>
      </w:r>
      <w:proofErr w:type="spellEnd"/>
      <w:r w:rsidR="009B5A5D" w:rsidRPr="009B5A5D">
        <w:rPr>
          <w:rFonts w:ascii="Times New Roman" w:hAnsi="Times New Roman"/>
          <w:sz w:val="28"/>
          <w:szCs w:val="28"/>
        </w:rPr>
        <w:t xml:space="preserve"> nel tempio di Giunone Moneta</w:t>
      </w:r>
      <w:r w:rsidR="009B5A5D" w:rsidRPr="009B5A5D">
        <w:rPr>
          <w:rStyle w:val="Rimandonotaapidipagina"/>
          <w:rFonts w:ascii="Times New Roman" w:hAnsi="Times New Roman"/>
          <w:sz w:val="28"/>
          <w:szCs w:val="28"/>
        </w:rPr>
        <w:footnoteReference w:id="10"/>
      </w:r>
      <w:r w:rsidR="00D6444E">
        <w:rPr>
          <w:rFonts w:ascii="Times New Roman" w:hAnsi="Times New Roman"/>
          <w:sz w:val="28"/>
          <w:szCs w:val="28"/>
        </w:rPr>
        <w:t xml:space="preserve"> e</w:t>
      </w:r>
      <w:r w:rsidR="009B5A5D" w:rsidRPr="009B5A5D">
        <w:rPr>
          <w:rFonts w:ascii="Times New Roman" w:hAnsi="Times New Roman"/>
          <w:sz w:val="28"/>
          <w:szCs w:val="28"/>
        </w:rPr>
        <w:t xml:space="preserve">  </w:t>
      </w:r>
      <w:r w:rsidR="00D6444E">
        <w:rPr>
          <w:rFonts w:ascii="Times New Roman" w:hAnsi="Times New Roman"/>
          <w:sz w:val="28"/>
          <w:szCs w:val="28"/>
        </w:rPr>
        <w:t>d</w:t>
      </w:r>
      <w:r w:rsidR="009B5A5D" w:rsidRPr="009B5A5D">
        <w:rPr>
          <w:rFonts w:ascii="Times New Roman" w:hAnsi="Times New Roman"/>
          <w:sz w:val="28"/>
          <w:szCs w:val="28"/>
        </w:rPr>
        <w:t>i lino  erano  i  libri contenenti  gli  oracoli  relativi  al  destino  di  Roma (</w:t>
      </w:r>
      <w:r w:rsidR="001B00CD">
        <w:rPr>
          <w:rFonts w:ascii="Times New Roman" w:hAnsi="Times New Roman"/>
          <w:sz w:val="28"/>
          <w:szCs w:val="28"/>
        </w:rPr>
        <w:t xml:space="preserve">i </w:t>
      </w:r>
      <w:r w:rsidR="009B5A5D" w:rsidRPr="009B5A5D">
        <w:rPr>
          <w:rFonts w:ascii="Times New Roman" w:hAnsi="Times New Roman"/>
          <w:i/>
          <w:sz w:val="28"/>
          <w:szCs w:val="28"/>
        </w:rPr>
        <w:t>libri</w:t>
      </w:r>
      <w:r w:rsidR="009B5A5D" w:rsidRPr="009B5A5D">
        <w:rPr>
          <w:rFonts w:ascii="Times New Roman" w:hAnsi="Times New Roman"/>
          <w:sz w:val="28"/>
          <w:szCs w:val="28"/>
        </w:rPr>
        <w:t xml:space="preserve"> </w:t>
      </w:r>
      <w:proofErr w:type="spellStart"/>
      <w:r w:rsidR="009B5A5D" w:rsidRPr="009B5A5D">
        <w:rPr>
          <w:rFonts w:ascii="Times New Roman" w:hAnsi="Times New Roman"/>
          <w:i/>
          <w:sz w:val="28"/>
          <w:szCs w:val="28"/>
        </w:rPr>
        <w:t>Sybillini</w:t>
      </w:r>
      <w:proofErr w:type="spellEnd"/>
      <w:r w:rsidR="009B5A5D" w:rsidRPr="009B5A5D">
        <w:rPr>
          <w:rFonts w:ascii="Times New Roman" w:hAnsi="Times New Roman"/>
          <w:sz w:val="28"/>
          <w:szCs w:val="28"/>
        </w:rPr>
        <w:t xml:space="preserve">).  Ripiegati </w:t>
      </w:r>
      <w:r w:rsidR="001134CE">
        <w:rPr>
          <w:rFonts w:ascii="Times New Roman" w:hAnsi="Times New Roman"/>
          <w:sz w:val="28"/>
          <w:szCs w:val="28"/>
        </w:rPr>
        <w:t>'</w:t>
      </w:r>
      <w:r w:rsidR="009B5A5D" w:rsidRPr="009B5A5D">
        <w:rPr>
          <w:rFonts w:ascii="Times New Roman" w:hAnsi="Times New Roman"/>
          <w:sz w:val="28"/>
          <w:szCs w:val="28"/>
        </w:rPr>
        <w:t>a soffietto</w:t>
      </w:r>
      <w:r w:rsidR="001134CE">
        <w:rPr>
          <w:rFonts w:ascii="Times New Roman" w:hAnsi="Times New Roman"/>
          <w:sz w:val="28"/>
          <w:szCs w:val="28"/>
        </w:rPr>
        <w:t>'</w:t>
      </w:r>
      <w:r w:rsidR="009B5A5D" w:rsidRPr="009B5A5D">
        <w:rPr>
          <w:rFonts w:ascii="Times New Roman" w:hAnsi="Times New Roman"/>
          <w:sz w:val="28"/>
          <w:szCs w:val="28"/>
        </w:rPr>
        <w:t xml:space="preserve"> possono essere osservati su sarcofaghi etruschi del IV sec.</w:t>
      </w:r>
      <w:r w:rsidR="001134CE">
        <w:rPr>
          <w:rFonts w:ascii="Times New Roman" w:hAnsi="Times New Roman"/>
          <w:sz w:val="28"/>
          <w:szCs w:val="28"/>
        </w:rPr>
        <w:t xml:space="preserve"> </w:t>
      </w:r>
      <w:r w:rsidR="009B5A5D" w:rsidRPr="009B5A5D">
        <w:rPr>
          <w:rFonts w:ascii="Times New Roman" w:hAnsi="Times New Roman"/>
          <w:sz w:val="28"/>
          <w:szCs w:val="28"/>
        </w:rPr>
        <w:t>a.C.</w:t>
      </w:r>
      <w:r w:rsidR="00D6444E">
        <w:rPr>
          <w:rFonts w:ascii="Times New Roman" w:hAnsi="Times New Roman"/>
          <w:sz w:val="28"/>
          <w:szCs w:val="28"/>
        </w:rPr>
        <w:t>, ma a</w:t>
      </w:r>
      <w:r w:rsidR="009B5A5D" w:rsidRPr="009B5A5D">
        <w:rPr>
          <w:rFonts w:ascii="Times New Roman" w:hAnsi="Times New Roman"/>
          <w:sz w:val="28"/>
          <w:szCs w:val="28"/>
        </w:rPr>
        <w:t>nche in un più tardo bassorilievo romano della Galleria degli Uffizi a Firenze e relativo alla  bottega  di  un  venditore  di tessuti</w:t>
      </w:r>
      <w:r w:rsidR="00D6444E">
        <w:rPr>
          <w:rFonts w:ascii="Times New Roman" w:hAnsi="Times New Roman"/>
          <w:sz w:val="28"/>
          <w:szCs w:val="28"/>
        </w:rPr>
        <w:t>. Ivi</w:t>
      </w:r>
      <w:r w:rsidR="009B5A5D" w:rsidRPr="009B5A5D">
        <w:rPr>
          <w:rFonts w:ascii="Times New Roman" w:hAnsi="Times New Roman"/>
          <w:sz w:val="28"/>
          <w:szCs w:val="28"/>
        </w:rPr>
        <w:t xml:space="preserve">, un  </w:t>
      </w:r>
      <w:proofErr w:type="spellStart"/>
      <w:r w:rsidR="009B5A5D" w:rsidRPr="009B5A5D">
        <w:rPr>
          <w:rFonts w:ascii="Times New Roman" w:hAnsi="Times New Roman"/>
          <w:i/>
          <w:sz w:val="28"/>
          <w:szCs w:val="28"/>
        </w:rPr>
        <w:t>liber</w:t>
      </w:r>
      <w:proofErr w:type="spellEnd"/>
      <w:r w:rsidR="009B5A5D" w:rsidRPr="009B5A5D">
        <w:rPr>
          <w:rFonts w:ascii="Times New Roman" w:hAnsi="Times New Roman"/>
          <w:i/>
          <w:sz w:val="28"/>
          <w:szCs w:val="28"/>
        </w:rPr>
        <w:t xml:space="preserve"> </w:t>
      </w:r>
      <w:proofErr w:type="spellStart"/>
      <w:r w:rsidR="009B5A5D" w:rsidRPr="009B5A5D">
        <w:rPr>
          <w:rFonts w:ascii="Times New Roman" w:hAnsi="Times New Roman"/>
          <w:i/>
          <w:sz w:val="28"/>
          <w:szCs w:val="28"/>
        </w:rPr>
        <w:t>linteus</w:t>
      </w:r>
      <w:proofErr w:type="spellEnd"/>
      <w:r w:rsidR="009B5A5D" w:rsidRPr="009B5A5D">
        <w:rPr>
          <w:rFonts w:ascii="Times New Roman" w:hAnsi="Times New Roman"/>
          <w:sz w:val="28"/>
          <w:szCs w:val="28"/>
        </w:rPr>
        <w:t xml:space="preserve"> - simile ad un codice ligneo,  ma con pieghe alle estremità delle pagine riquadrate - </w:t>
      </w:r>
      <w:r w:rsidR="001B00CD">
        <w:rPr>
          <w:rFonts w:ascii="Times New Roman" w:hAnsi="Times New Roman"/>
          <w:sz w:val="28"/>
          <w:szCs w:val="28"/>
        </w:rPr>
        <w:t>viene</w:t>
      </w:r>
      <w:r w:rsidR="009B5A5D" w:rsidRPr="009B5A5D">
        <w:rPr>
          <w:rFonts w:ascii="Times New Roman" w:hAnsi="Times New Roman"/>
          <w:sz w:val="28"/>
          <w:szCs w:val="28"/>
        </w:rPr>
        <w:t xml:space="preserve">  proposto</w:t>
      </w:r>
      <w:r w:rsidR="001B00CD" w:rsidRPr="001B00CD">
        <w:rPr>
          <w:rFonts w:ascii="Times New Roman" w:hAnsi="Times New Roman"/>
          <w:sz w:val="28"/>
          <w:szCs w:val="28"/>
        </w:rPr>
        <w:t xml:space="preserve"> </w:t>
      </w:r>
      <w:r w:rsidR="001B00CD" w:rsidRPr="009B5A5D">
        <w:rPr>
          <w:rFonts w:ascii="Times New Roman" w:hAnsi="Times New Roman"/>
          <w:sz w:val="28"/>
          <w:szCs w:val="28"/>
        </w:rPr>
        <w:t>da un mercante</w:t>
      </w:r>
      <w:r w:rsidR="001134CE">
        <w:rPr>
          <w:rFonts w:ascii="Times New Roman" w:hAnsi="Times New Roman"/>
          <w:sz w:val="28"/>
          <w:szCs w:val="28"/>
        </w:rPr>
        <w:t>,</w:t>
      </w:r>
      <w:r w:rsidR="009B5A5D" w:rsidRPr="009B5A5D">
        <w:rPr>
          <w:rFonts w:ascii="Times New Roman" w:hAnsi="Times New Roman"/>
          <w:sz w:val="28"/>
          <w:szCs w:val="28"/>
        </w:rPr>
        <w:t xml:space="preserve"> </w:t>
      </w:r>
      <w:r w:rsidR="001134CE" w:rsidRPr="009B5A5D">
        <w:rPr>
          <w:rFonts w:ascii="Times New Roman" w:hAnsi="Times New Roman"/>
          <w:sz w:val="28"/>
          <w:szCs w:val="28"/>
        </w:rPr>
        <w:t>tra  cuscini  e  stole</w:t>
      </w:r>
      <w:r w:rsidR="001134CE">
        <w:rPr>
          <w:rFonts w:ascii="Times New Roman" w:hAnsi="Times New Roman"/>
          <w:sz w:val="28"/>
          <w:szCs w:val="28"/>
        </w:rPr>
        <w:t>,</w:t>
      </w:r>
      <w:r w:rsidR="001134CE" w:rsidRPr="009B5A5D">
        <w:rPr>
          <w:rFonts w:ascii="Times New Roman" w:hAnsi="Times New Roman"/>
          <w:sz w:val="28"/>
          <w:szCs w:val="28"/>
        </w:rPr>
        <w:t xml:space="preserve"> </w:t>
      </w:r>
      <w:r w:rsidR="009B5A5D" w:rsidRPr="009B5A5D">
        <w:rPr>
          <w:rFonts w:ascii="Times New Roman" w:hAnsi="Times New Roman"/>
          <w:sz w:val="28"/>
          <w:szCs w:val="28"/>
        </w:rPr>
        <w:t xml:space="preserve">all’acquisto da parte di una famiglia  patrizia,  che  avrebbe  potuto  </w:t>
      </w:r>
      <w:r w:rsidR="001134CE">
        <w:rPr>
          <w:rFonts w:ascii="Times New Roman" w:hAnsi="Times New Roman"/>
          <w:sz w:val="28"/>
          <w:szCs w:val="28"/>
        </w:rPr>
        <w:t xml:space="preserve">nel </w:t>
      </w:r>
      <w:r w:rsidR="001134CE" w:rsidRPr="009B5A5D">
        <w:rPr>
          <w:rFonts w:ascii="Times New Roman" w:hAnsi="Times New Roman"/>
          <w:sz w:val="28"/>
          <w:szCs w:val="28"/>
        </w:rPr>
        <w:t>I sec.</w:t>
      </w:r>
      <w:r w:rsidR="001134CE">
        <w:rPr>
          <w:rFonts w:ascii="Times New Roman" w:hAnsi="Times New Roman"/>
          <w:sz w:val="28"/>
          <w:szCs w:val="28"/>
        </w:rPr>
        <w:t xml:space="preserve"> a.C./</w:t>
      </w:r>
      <w:r w:rsidR="001134CE" w:rsidRPr="009B5A5D">
        <w:rPr>
          <w:rFonts w:ascii="Times New Roman" w:hAnsi="Times New Roman"/>
          <w:sz w:val="28"/>
          <w:szCs w:val="28"/>
        </w:rPr>
        <w:t>I d.C.</w:t>
      </w:r>
      <w:r w:rsidR="001134CE">
        <w:rPr>
          <w:rFonts w:ascii="Times New Roman" w:hAnsi="Times New Roman"/>
          <w:sz w:val="28"/>
          <w:szCs w:val="28"/>
        </w:rPr>
        <w:t xml:space="preserve"> </w:t>
      </w:r>
      <w:r w:rsidR="009B5A5D" w:rsidRPr="009B5A5D">
        <w:rPr>
          <w:rFonts w:ascii="Times New Roman" w:hAnsi="Times New Roman"/>
          <w:sz w:val="28"/>
          <w:szCs w:val="28"/>
        </w:rPr>
        <w:t xml:space="preserve">registrarvi  i ricordi </w:t>
      </w:r>
      <w:r w:rsidR="001134CE">
        <w:rPr>
          <w:rFonts w:ascii="Times New Roman" w:hAnsi="Times New Roman"/>
          <w:sz w:val="28"/>
          <w:szCs w:val="28"/>
        </w:rPr>
        <w:t xml:space="preserve">della </w:t>
      </w:r>
      <w:proofErr w:type="spellStart"/>
      <w:r w:rsidR="009B5A5D" w:rsidRPr="001134CE">
        <w:rPr>
          <w:rFonts w:ascii="Times New Roman" w:hAnsi="Times New Roman"/>
          <w:i/>
          <w:sz w:val="28"/>
          <w:szCs w:val="28"/>
        </w:rPr>
        <w:t>familia</w:t>
      </w:r>
      <w:proofErr w:type="spellEnd"/>
      <w:r w:rsidR="009B5A5D" w:rsidRPr="009B5A5D">
        <w:rPr>
          <w:rStyle w:val="Rimandonotaapidipagina"/>
          <w:rFonts w:ascii="Times New Roman" w:hAnsi="Times New Roman"/>
          <w:sz w:val="28"/>
          <w:szCs w:val="28"/>
        </w:rPr>
        <w:footnoteReference w:id="11"/>
      </w:r>
      <w:r w:rsidR="001134CE">
        <w:rPr>
          <w:rFonts w:ascii="Times New Roman" w:hAnsi="Times New Roman"/>
          <w:sz w:val="28"/>
          <w:szCs w:val="28"/>
        </w:rPr>
        <w:t xml:space="preserve">. </w:t>
      </w:r>
      <w:r w:rsidR="009B5A5D" w:rsidRPr="009B5A5D">
        <w:rPr>
          <w:rFonts w:ascii="Times New Roman" w:hAnsi="Times New Roman"/>
          <w:sz w:val="28"/>
          <w:szCs w:val="28"/>
        </w:rPr>
        <w:t xml:space="preserve">Ancora alla fine dell’età classica l’imperatore Aureliano utilizzava con valenza simbolica </w:t>
      </w:r>
      <w:r w:rsidR="009B5A5D" w:rsidRPr="009B5A5D">
        <w:rPr>
          <w:rFonts w:ascii="Times New Roman" w:hAnsi="Times New Roman"/>
          <w:i/>
          <w:sz w:val="28"/>
          <w:szCs w:val="28"/>
        </w:rPr>
        <w:t xml:space="preserve">libri </w:t>
      </w:r>
      <w:proofErr w:type="spellStart"/>
      <w:r w:rsidR="009B5A5D" w:rsidRPr="009B5A5D">
        <w:rPr>
          <w:rFonts w:ascii="Times New Roman" w:hAnsi="Times New Roman"/>
          <w:i/>
          <w:sz w:val="28"/>
          <w:szCs w:val="28"/>
        </w:rPr>
        <w:t>lintei</w:t>
      </w:r>
      <w:proofErr w:type="spellEnd"/>
      <w:r w:rsidR="009B5A5D" w:rsidRPr="009B5A5D">
        <w:rPr>
          <w:rFonts w:ascii="Times New Roman" w:hAnsi="Times New Roman"/>
          <w:sz w:val="28"/>
          <w:szCs w:val="28"/>
        </w:rPr>
        <w:t xml:space="preserve"> per stendere </w:t>
      </w:r>
      <w:proofErr w:type="spellStart"/>
      <w:r w:rsidR="009B5A5D" w:rsidRPr="009B5A5D">
        <w:rPr>
          <w:rFonts w:ascii="Times New Roman" w:hAnsi="Times New Roman"/>
          <w:i/>
          <w:sz w:val="28"/>
          <w:szCs w:val="28"/>
        </w:rPr>
        <w:t>commentarii</w:t>
      </w:r>
      <w:proofErr w:type="spellEnd"/>
      <w:r w:rsidR="009B5A5D" w:rsidRPr="009B5A5D">
        <w:rPr>
          <w:rFonts w:ascii="Times New Roman" w:hAnsi="Times New Roman"/>
          <w:sz w:val="28"/>
          <w:szCs w:val="28"/>
        </w:rPr>
        <w:t xml:space="preserve"> pubblici</w:t>
      </w:r>
      <w:r w:rsidR="004D7EC0">
        <w:rPr>
          <w:rFonts w:ascii="Times New Roman" w:hAnsi="Times New Roman"/>
          <w:sz w:val="28"/>
          <w:szCs w:val="28"/>
        </w:rPr>
        <w:t xml:space="preserve"> e in </w:t>
      </w:r>
      <w:proofErr w:type="spellStart"/>
      <w:r w:rsidR="004D7EC0">
        <w:rPr>
          <w:rFonts w:ascii="Times New Roman" w:hAnsi="Times New Roman"/>
          <w:i/>
          <w:sz w:val="28"/>
          <w:szCs w:val="28"/>
        </w:rPr>
        <w:t>mappae</w:t>
      </w:r>
      <w:proofErr w:type="spellEnd"/>
      <w:r w:rsidR="004D7EC0">
        <w:rPr>
          <w:rFonts w:ascii="Times New Roman" w:hAnsi="Times New Roman"/>
          <w:i/>
          <w:sz w:val="28"/>
          <w:szCs w:val="28"/>
        </w:rPr>
        <w:t xml:space="preserve"> </w:t>
      </w:r>
      <w:r w:rsidR="004D7EC0" w:rsidRPr="004D7EC0">
        <w:rPr>
          <w:rFonts w:ascii="Times New Roman" w:hAnsi="Times New Roman"/>
          <w:sz w:val="28"/>
          <w:szCs w:val="28"/>
        </w:rPr>
        <w:t>di lino</w:t>
      </w:r>
      <w:r w:rsidR="004D7EC0">
        <w:rPr>
          <w:rFonts w:ascii="Times New Roman" w:hAnsi="Times New Roman"/>
          <w:i/>
          <w:sz w:val="28"/>
          <w:szCs w:val="28"/>
        </w:rPr>
        <w:t xml:space="preserve"> </w:t>
      </w:r>
      <w:r w:rsidR="004D7EC0">
        <w:rPr>
          <w:rFonts w:ascii="Times New Roman" w:hAnsi="Times New Roman"/>
          <w:sz w:val="28"/>
          <w:szCs w:val="28"/>
        </w:rPr>
        <w:t>po</w:t>
      </w:r>
      <w:r w:rsidR="00D6444E">
        <w:rPr>
          <w:rFonts w:ascii="Times New Roman" w:hAnsi="Times New Roman"/>
          <w:sz w:val="28"/>
          <w:szCs w:val="28"/>
        </w:rPr>
        <w:t>teva</w:t>
      </w:r>
      <w:r w:rsidR="004D7EC0">
        <w:rPr>
          <w:rFonts w:ascii="Times New Roman" w:hAnsi="Times New Roman"/>
          <w:sz w:val="28"/>
          <w:szCs w:val="28"/>
        </w:rPr>
        <w:t>no essere pubblicate le leggi</w:t>
      </w:r>
      <w:r w:rsidR="00361E2B" w:rsidRPr="00361E2B">
        <w:rPr>
          <w:rFonts w:ascii="Times New Roman" w:hAnsi="Times New Roman"/>
          <w:sz w:val="28"/>
          <w:szCs w:val="28"/>
        </w:rPr>
        <w:t xml:space="preserve"> </w:t>
      </w:r>
      <w:r w:rsidR="00361E2B">
        <w:rPr>
          <w:rFonts w:ascii="Times New Roman" w:hAnsi="Times New Roman"/>
          <w:sz w:val="28"/>
          <w:szCs w:val="28"/>
        </w:rPr>
        <w:t>nel 315 d.C.</w:t>
      </w:r>
      <w:r w:rsidR="004D7EC0">
        <w:rPr>
          <w:rStyle w:val="Rimandonotaapidipagina"/>
          <w:rFonts w:ascii="Times New Roman" w:hAnsi="Times New Roman"/>
          <w:sz w:val="28"/>
          <w:szCs w:val="28"/>
        </w:rPr>
        <w:footnoteReference w:id="12"/>
      </w:r>
      <w:r w:rsidR="004D7EC0">
        <w:rPr>
          <w:rFonts w:ascii="Times New Roman" w:hAnsi="Times New Roman"/>
          <w:sz w:val="28"/>
          <w:szCs w:val="28"/>
        </w:rPr>
        <w:t>, evidentemente distendendo un 'codice' di lino 'a soffietto'</w:t>
      </w:r>
      <w:r w:rsidR="001B00CD">
        <w:rPr>
          <w:rFonts w:ascii="Times New Roman" w:hAnsi="Times New Roman"/>
          <w:sz w:val="28"/>
          <w:szCs w:val="28"/>
        </w:rPr>
        <w:t xml:space="preserve"> o un </w:t>
      </w:r>
      <w:proofErr w:type="spellStart"/>
      <w:r w:rsidR="001B00CD" w:rsidRPr="001B00CD">
        <w:rPr>
          <w:rFonts w:ascii="Times New Roman" w:hAnsi="Times New Roman"/>
          <w:i/>
          <w:sz w:val="28"/>
          <w:szCs w:val="28"/>
        </w:rPr>
        <w:t>volumen</w:t>
      </w:r>
      <w:proofErr w:type="spellEnd"/>
      <w:r w:rsidR="00BE6AA0">
        <w:rPr>
          <w:rFonts w:ascii="Times New Roman" w:hAnsi="Times New Roman"/>
          <w:i/>
          <w:sz w:val="28"/>
          <w:szCs w:val="28"/>
        </w:rPr>
        <w:t xml:space="preserve"> </w:t>
      </w:r>
      <w:r w:rsidR="00BE6AA0">
        <w:rPr>
          <w:rFonts w:ascii="Times New Roman" w:hAnsi="Times New Roman"/>
          <w:sz w:val="28"/>
          <w:szCs w:val="28"/>
        </w:rPr>
        <w:t>di altro materiale</w:t>
      </w:r>
      <w:r w:rsidR="004D7EC0">
        <w:rPr>
          <w:rFonts w:ascii="Times New Roman" w:hAnsi="Times New Roman"/>
          <w:sz w:val="28"/>
          <w:szCs w:val="28"/>
        </w:rPr>
        <w:t xml:space="preserve">, come si osserva in </w:t>
      </w:r>
      <w:r w:rsidR="004D7EC0" w:rsidRPr="00572B3F">
        <w:rPr>
          <w:rFonts w:ascii="Times New Roman" w:hAnsi="Times New Roman"/>
          <w:sz w:val="28"/>
          <w:szCs w:val="28"/>
        </w:rPr>
        <w:t>un</w:t>
      </w:r>
      <w:r w:rsidR="00572B3F" w:rsidRPr="00572B3F">
        <w:rPr>
          <w:rFonts w:ascii="Times New Roman" w:hAnsi="Times New Roman"/>
          <w:sz w:val="28"/>
          <w:szCs w:val="28"/>
        </w:rPr>
        <w:t xml:space="preserve"> affresco</w:t>
      </w:r>
      <w:r w:rsidR="00572B3F">
        <w:rPr>
          <w:rFonts w:ascii="Times New Roman" w:hAnsi="Times New Roman"/>
          <w:sz w:val="28"/>
          <w:szCs w:val="28"/>
        </w:rPr>
        <w:t xml:space="preserve"> di Pompei</w:t>
      </w:r>
      <w:r w:rsidR="00572B3F" w:rsidRPr="00572B3F">
        <w:rPr>
          <w:rFonts w:ascii="Times New Roman" w:hAnsi="Times New Roman"/>
          <w:sz w:val="28"/>
          <w:szCs w:val="28"/>
        </w:rPr>
        <w:t>, dipinto nell'atrio d</w:t>
      </w:r>
      <w:r w:rsidR="00572B3F">
        <w:rPr>
          <w:rFonts w:ascii="Times New Roman" w:hAnsi="Times New Roman"/>
          <w:sz w:val="28"/>
          <w:szCs w:val="28"/>
        </w:rPr>
        <w:t>e</w:t>
      </w:r>
      <w:r w:rsidR="00572B3F" w:rsidRPr="00572B3F">
        <w:rPr>
          <w:rFonts w:ascii="Times New Roman" w:hAnsi="Times New Roman"/>
          <w:sz w:val="28"/>
          <w:szCs w:val="28"/>
        </w:rPr>
        <w:t xml:space="preserve">i </w:t>
      </w:r>
      <w:proofErr w:type="spellStart"/>
      <w:r w:rsidR="00572B3F" w:rsidRPr="00572B3F">
        <w:rPr>
          <w:rStyle w:val="Enfasicorsivo"/>
          <w:rFonts w:ascii="Times New Roman" w:hAnsi="Times New Roman"/>
          <w:sz w:val="28"/>
          <w:szCs w:val="28"/>
        </w:rPr>
        <w:t>Praedia</w:t>
      </w:r>
      <w:proofErr w:type="spellEnd"/>
      <w:r w:rsidR="00572B3F" w:rsidRPr="00572B3F">
        <w:rPr>
          <w:rStyle w:val="Enfasicorsivo"/>
          <w:rFonts w:ascii="Times New Roman" w:hAnsi="Times New Roman"/>
          <w:sz w:val="28"/>
          <w:szCs w:val="28"/>
        </w:rPr>
        <w:t xml:space="preserve"> </w:t>
      </w:r>
      <w:r w:rsidR="00572B3F" w:rsidRPr="00572B3F">
        <w:rPr>
          <w:rStyle w:val="Enfasicorsivo"/>
          <w:rFonts w:ascii="Times New Roman" w:hAnsi="Times New Roman"/>
          <w:i w:val="0"/>
          <w:sz w:val="28"/>
          <w:szCs w:val="28"/>
        </w:rPr>
        <w:t>di</w:t>
      </w:r>
      <w:r w:rsidR="00572B3F" w:rsidRPr="00572B3F">
        <w:rPr>
          <w:rStyle w:val="Enfasicorsivo"/>
          <w:rFonts w:ascii="Times New Roman" w:hAnsi="Times New Roman"/>
          <w:sz w:val="28"/>
          <w:szCs w:val="28"/>
        </w:rPr>
        <w:t xml:space="preserve"> </w:t>
      </w:r>
      <w:proofErr w:type="spellStart"/>
      <w:r w:rsidR="00572B3F" w:rsidRPr="00572B3F">
        <w:rPr>
          <w:rStyle w:val="Enfasicorsivo"/>
          <w:rFonts w:ascii="Times New Roman" w:hAnsi="Times New Roman"/>
          <w:sz w:val="28"/>
          <w:szCs w:val="28"/>
        </w:rPr>
        <w:t>Iulia</w:t>
      </w:r>
      <w:proofErr w:type="spellEnd"/>
      <w:r w:rsidR="00572B3F" w:rsidRPr="00572B3F">
        <w:rPr>
          <w:rStyle w:val="Enfasicorsivo"/>
          <w:rFonts w:ascii="Times New Roman" w:hAnsi="Times New Roman"/>
          <w:sz w:val="28"/>
          <w:szCs w:val="28"/>
        </w:rPr>
        <w:t xml:space="preserve"> Felix</w:t>
      </w:r>
      <w:r w:rsidR="00CE555C">
        <w:rPr>
          <w:rStyle w:val="Enfasicorsivo"/>
          <w:rFonts w:ascii="Times New Roman" w:hAnsi="Times New Roman"/>
          <w:i w:val="0"/>
          <w:sz w:val="28"/>
          <w:szCs w:val="28"/>
        </w:rPr>
        <w:t xml:space="preserve"> e</w:t>
      </w:r>
      <w:r w:rsidR="00572B3F" w:rsidRPr="00572B3F">
        <w:rPr>
          <w:rFonts w:ascii="Times New Roman" w:hAnsi="Times New Roman"/>
          <w:sz w:val="28"/>
          <w:szCs w:val="28"/>
        </w:rPr>
        <w:t xml:space="preserve"> risalente agli ultimi anni di vita della città</w:t>
      </w:r>
      <w:r w:rsidR="00572B3F">
        <w:rPr>
          <w:rStyle w:val="Rimandonotaapidipagina"/>
          <w:rFonts w:ascii="Times New Roman" w:hAnsi="Times New Roman"/>
          <w:sz w:val="28"/>
          <w:szCs w:val="28"/>
        </w:rPr>
        <w:footnoteReference w:id="13"/>
      </w:r>
      <w:r w:rsidR="009B5A5D" w:rsidRPr="00572B3F">
        <w:rPr>
          <w:rFonts w:ascii="Times New Roman" w:hAnsi="Times New Roman"/>
          <w:sz w:val="28"/>
          <w:szCs w:val="28"/>
        </w:rPr>
        <w:t>.</w:t>
      </w:r>
      <w:r w:rsidR="00FA571A">
        <w:rPr>
          <w:rFonts w:ascii="Times New Roman" w:hAnsi="Times New Roman"/>
          <w:sz w:val="28"/>
          <w:szCs w:val="28"/>
        </w:rPr>
        <w:t xml:space="preserve"> </w:t>
      </w:r>
    </w:p>
    <w:p w:rsidR="000321A1" w:rsidRDefault="009B5A5D" w:rsidP="00A12492">
      <w:pPr>
        <w:spacing w:after="0" w:line="240" w:lineRule="atLeast"/>
        <w:ind w:right="567"/>
        <w:contextualSpacing/>
        <w:rPr>
          <w:rFonts w:ascii="Times New Roman" w:hAnsi="Times New Roman"/>
          <w:sz w:val="28"/>
          <w:szCs w:val="28"/>
        </w:rPr>
      </w:pPr>
      <w:r w:rsidRPr="009B5A5D">
        <w:rPr>
          <w:rFonts w:ascii="Times New Roman" w:hAnsi="Times New Roman"/>
          <w:sz w:val="28"/>
          <w:szCs w:val="28"/>
        </w:rPr>
        <w:t>A noi è pervenuto un unic</w:t>
      </w:r>
      <w:r w:rsidR="00CE555C">
        <w:rPr>
          <w:rFonts w:ascii="Times New Roman" w:hAnsi="Times New Roman"/>
          <w:sz w:val="28"/>
          <w:szCs w:val="28"/>
        </w:rPr>
        <w:t xml:space="preserve">o superstite manufatto del II </w:t>
      </w:r>
      <w:r w:rsidR="00CE555C" w:rsidRPr="009B5A5D">
        <w:rPr>
          <w:rFonts w:ascii="Times New Roman" w:hAnsi="Times New Roman"/>
          <w:sz w:val="28"/>
          <w:szCs w:val="28"/>
        </w:rPr>
        <w:t>sec.</w:t>
      </w:r>
      <w:r w:rsidR="00CE555C">
        <w:rPr>
          <w:rFonts w:ascii="Times New Roman" w:hAnsi="Times New Roman"/>
          <w:sz w:val="28"/>
          <w:szCs w:val="28"/>
        </w:rPr>
        <w:t xml:space="preserve"> </w:t>
      </w:r>
      <w:r w:rsidR="00CE555C" w:rsidRPr="009B5A5D">
        <w:rPr>
          <w:rFonts w:ascii="Times New Roman" w:hAnsi="Times New Roman"/>
          <w:sz w:val="28"/>
          <w:szCs w:val="28"/>
        </w:rPr>
        <w:t>a.C.</w:t>
      </w:r>
      <w:r w:rsidR="00CE555C">
        <w:rPr>
          <w:rFonts w:ascii="Times New Roman" w:hAnsi="Times New Roman"/>
          <w:sz w:val="28"/>
          <w:szCs w:val="28"/>
        </w:rPr>
        <w:t xml:space="preserve"> di </w:t>
      </w:r>
      <w:proofErr w:type="spellStart"/>
      <w:r w:rsidR="00CE555C">
        <w:rPr>
          <w:rFonts w:ascii="Times New Roman" w:hAnsi="Times New Roman"/>
          <w:i/>
          <w:sz w:val="28"/>
          <w:szCs w:val="28"/>
        </w:rPr>
        <w:t>liber</w:t>
      </w:r>
      <w:proofErr w:type="spellEnd"/>
      <w:r w:rsidR="00CE555C">
        <w:rPr>
          <w:rFonts w:ascii="Times New Roman" w:hAnsi="Times New Roman"/>
          <w:i/>
          <w:sz w:val="28"/>
          <w:szCs w:val="28"/>
        </w:rPr>
        <w:t xml:space="preserve"> </w:t>
      </w:r>
      <w:proofErr w:type="spellStart"/>
      <w:r w:rsidR="00CE555C">
        <w:rPr>
          <w:rFonts w:ascii="Times New Roman" w:hAnsi="Times New Roman"/>
          <w:i/>
          <w:sz w:val="28"/>
          <w:szCs w:val="28"/>
        </w:rPr>
        <w:t>linteus</w:t>
      </w:r>
      <w:proofErr w:type="spellEnd"/>
      <w:r w:rsidR="00CE555C">
        <w:rPr>
          <w:rFonts w:ascii="Times New Roman" w:hAnsi="Times New Roman"/>
          <w:sz w:val="28"/>
          <w:szCs w:val="28"/>
        </w:rPr>
        <w:t xml:space="preserve">, redatto </w:t>
      </w:r>
      <w:r w:rsidRPr="009B5A5D">
        <w:rPr>
          <w:rFonts w:ascii="Times New Roman" w:hAnsi="Times New Roman"/>
          <w:sz w:val="28"/>
          <w:szCs w:val="28"/>
        </w:rPr>
        <w:t xml:space="preserve">in </w:t>
      </w:r>
      <w:r w:rsidR="00CE555C">
        <w:rPr>
          <w:rFonts w:ascii="Times New Roman" w:hAnsi="Times New Roman"/>
          <w:sz w:val="28"/>
          <w:szCs w:val="28"/>
        </w:rPr>
        <w:t>etrusco</w:t>
      </w:r>
      <w:r w:rsidRPr="009B5A5D">
        <w:rPr>
          <w:rFonts w:ascii="Times New Roman" w:hAnsi="Times New Roman"/>
          <w:sz w:val="28"/>
          <w:szCs w:val="28"/>
        </w:rPr>
        <w:t xml:space="preserve">: il </w:t>
      </w:r>
      <w:proofErr w:type="spellStart"/>
      <w:r w:rsidRPr="009B5A5D">
        <w:rPr>
          <w:rFonts w:ascii="Times New Roman" w:hAnsi="Times New Roman"/>
          <w:i/>
          <w:sz w:val="28"/>
          <w:szCs w:val="28"/>
        </w:rPr>
        <w:t>liber</w:t>
      </w:r>
      <w:proofErr w:type="spellEnd"/>
      <w:r w:rsidRPr="009B5A5D">
        <w:rPr>
          <w:rFonts w:ascii="Times New Roman" w:hAnsi="Times New Roman"/>
          <w:i/>
          <w:sz w:val="28"/>
          <w:szCs w:val="28"/>
        </w:rPr>
        <w:t xml:space="preserve"> </w:t>
      </w:r>
      <w:proofErr w:type="spellStart"/>
      <w:r w:rsidRPr="009B5A5D">
        <w:rPr>
          <w:rFonts w:ascii="Times New Roman" w:hAnsi="Times New Roman"/>
          <w:i/>
          <w:sz w:val="28"/>
          <w:szCs w:val="28"/>
        </w:rPr>
        <w:t>linteus</w:t>
      </w:r>
      <w:proofErr w:type="spellEnd"/>
      <w:r w:rsidRPr="009B5A5D">
        <w:rPr>
          <w:rFonts w:ascii="Times New Roman" w:hAnsi="Times New Roman"/>
          <w:sz w:val="28"/>
          <w:szCs w:val="28"/>
        </w:rPr>
        <w:t xml:space="preserve"> di Zagabria.  Si tratta di</w:t>
      </w:r>
      <w:r w:rsidR="00CE555C">
        <w:rPr>
          <w:rFonts w:ascii="Times New Roman" w:hAnsi="Times New Roman"/>
          <w:sz w:val="28"/>
          <w:szCs w:val="28"/>
        </w:rPr>
        <w:t xml:space="preserve"> </w:t>
      </w:r>
      <w:r w:rsidRPr="009B5A5D">
        <w:rPr>
          <w:rFonts w:ascii="Times New Roman" w:hAnsi="Times New Roman"/>
          <w:sz w:val="28"/>
          <w:szCs w:val="28"/>
        </w:rPr>
        <w:t>una benda di mummia, originariamente iscritta in colonne, marcate da  linee  verticali  rosse.  Le  colonne  di  scrittura appaiono  più  larghe  di quanto non siano nei rotoli di papiro, ma,  come in quel  caso,  perpendicolari  alla  lunghezza  d</w:t>
      </w:r>
      <w:r w:rsidR="00CE555C">
        <w:rPr>
          <w:rFonts w:ascii="Times New Roman" w:hAnsi="Times New Roman"/>
          <w:sz w:val="28"/>
          <w:szCs w:val="28"/>
        </w:rPr>
        <w:t>ella striscia.  La  struttura  '</w:t>
      </w:r>
      <w:r w:rsidRPr="009B5A5D">
        <w:rPr>
          <w:rFonts w:ascii="Times New Roman" w:hAnsi="Times New Roman"/>
          <w:sz w:val="28"/>
          <w:szCs w:val="28"/>
        </w:rPr>
        <w:t>a soffietto</w:t>
      </w:r>
      <w:r w:rsidR="00CE555C">
        <w:rPr>
          <w:rFonts w:ascii="Times New Roman" w:hAnsi="Times New Roman"/>
          <w:sz w:val="28"/>
          <w:szCs w:val="28"/>
        </w:rPr>
        <w:t>'</w:t>
      </w:r>
      <w:r w:rsidRPr="009B5A5D">
        <w:rPr>
          <w:rFonts w:ascii="Times New Roman" w:hAnsi="Times New Roman"/>
          <w:sz w:val="28"/>
          <w:szCs w:val="28"/>
        </w:rPr>
        <w:t>,  colonna contro colonna come indicano le pieghe, determinava uno spessore doppio di ogni pagina e l’utilizzazione seq</w:t>
      </w:r>
      <w:r w:rsidR="00CE555C">
        <w:rPr>
          <w:rFonts w:ascii="Times New Roman" w:hAnsi="Times New Roman"/>
          <w:sz w:val="28"/>
          <w:szCs w:val="28"/>
        </w:rPr>
        <w:t xml:space="preserve">uenziale di un lato del  telo, </w:t>
      </w:r>
      <w:r w:rsidRPr="009B5A5D">
        <w:rPr>
          <w:rFonts w:ascii="Times New Roman" w:hAnsi="Times New Roman"/>
          <w:sz w:val="28"/>
          <w:szCs w:val="28"/>
        </w:rPr>
        <w:t xml:space="preserve">come nel  </w:t>
      </w:r>
      <w:proofErr w:type="spellStart"/>
      <w:r w:rsidRPr="009B5A5D">
        <w:rPr>
          <w:rFonts w:ascii="Times New Roman" w:hAnsi="Times New Roman"/>
          <w:i/>
          <w:sz w:val="28"/>
          <w:szCs w:val="28"/>
        </w:rPr>
        <w:t>volumen</w:t>
      </w:r>
      <w:proofErr w:type="spellEnd"/>
      <w:r w:rsidRPr="009B5A5D">
        <w:rPr>
          <w:rFonts w:ascii="Times New Roman" w:hAnsi="Times New Roman"/>
          <w:sz w:val="28"/>
          <w:szCs w:val="28"/>
        </w:rPr>
        <w:t>.</w:t>
      </w:r>
      <w:r w:rsidR="00CE555C">
        <w:rPr>
          <w:rFonts w:ascii="Times New Roman" w:hAnsi="Times New Roman"/>
          <w:sz w:val="28"/>
          <w:szCs w:val="28"/>
        </w:rPr>
        <w:t xml:space="preserve"> </w:t>
      </w:r>
      <w:r w:rsidRPr="009B5A5D">
        <w:rPr>
          <w:rFonts w:ascii="Times New Roman" w:hAnsi="Times New Roman"/>
          <w:sz w:val="28"/>
          <w:szCs w:val="28"/>
        </w:rPr>
        <w:t>Il  manufatto,</w:t>
      </w:r>
      <w:r w:rsidR="00CE555C">
        <w:rPr>
          <w:rFonts w:ascii="Times New Roman" w:hAnsi="Times New Roman"/>
          <w:sz w:val="28"/>
          <w:szCs w:val="28"/>
        </w:rPr>
        <w:t xml:space="preserve"> </w:t>
      </w:r>
      <w:r w:rsidRPr="009B5A5D">
        <w:rPr>
          <w:rFonts w:ascii="Times New Roman" w:hAnsi="Times New Roman"/>
          <w:sz w:val="28"/>
          <w:szCs w:val="28"/>
        </w:rPr>
        <w:t>che doveva essere protetto da una parte te</w:t>
      </w:r>
      <w:r w:rsidR="00CE555C">
        <w:rPr>
          <w:rFonts w:ascii="Times New Roman" w:hAnsi="Times New Roman"/>
          <w:sz w:val="28"/>
          <w:szCs w:val="28"/>
        </w:rPr>
        <w:t xml:space="preserve">rminale avvolgente che fungeva da copertura, appariva </w:t>
      </w:r>
      <w:r w:rsidRPr="009B5A5D">
        <w:rPr>
          <w:rFonts w:ascii="Times New Roman" w:hAnsi="Times New Roman"/>
          <w:sz w:val="28"/>
          <w:szCs w:val="28"/>
        </w:rPr>
        <w:t>dunque</w:t>
      </w:r>
      <w:r w:rsidR="00CE555C">
        <w:rPr>
          <w:rFonts w:ascii="Times New Roman" w:hAnsi="Times New Roman"/>
          <w:sz w:val="28"/>
          <w:szCs w:val="28"/>
        </w:rPr>
        <w:t xml:space="preserve"> </w:t>
      </w:r>
      <w:r w:rsidRPr="009B5A5D">
        <w:rPr>
          <w:rFonts w:ascii="Times New Roman" w:hAnsi="Times New Roman"/>
          <w:sz w:val="28"/>
          <w:szCs w:val="28"/>
        </w:rPr>
        <w:t>come un rudimentale codice le cui pagine potevano essere sfogliate e alternativamente lette,</w:t>
      </w:r>
      <w:r w:rsidR="00361E2B">
        <w:rPr>
          <w:rFonts w:ascii="Times New Roman" w:hAnsi="Times New Roman"/>
          <w:sz w:val="28"/>
          <w:szCs w:val="28"/>
        </w:rPr>
        <w:t xml:space="preserve"> </w:t>
      </w:r>
      <w:r w:rsidRPr="009B5A5D">
        <w:rPr>
          <w:rFonts w:ascii="Times New Roman" w:hAnsi="Times New Roman"/>
          <w:sz w:val="28"/>
          <w:szCs w:val="28"/>
        </w:rPr>
        <w:t>ma</w:t>
      </w:r>
      <w:r w:rsidR="00361E2B">
        <w:rPr>
          <w:rFonts w:ascii="Times New Roman" w:hAnsi="Times New Roman"/>
          <w:sz w:val="28"/>
          <w:szCs w:val="28"/>
        </w:rPr>
        <w:t xml:space="preserve"> </w:t>
      </w:r>
      <w:r w:rsidRPr="009B5A5D">
        <w:rPr>
          <w:rFonts w:ascii="Times New Roman" w:hAnsi="Times New Roman"/>
          <w:sz w:val="28"/>
          <w:szCs w:val="28"/>
        </w:rPr>
        <w:t xml:space="preserve">a differenza del più evoluto   formato  librario  non  presentava  la caratteristica alternanza </w:t>
      </w:r>
      <w:r w:rsidRPr="009B5A5D">
        <w:rPr>
          <w:rFonts w:ascii="Times New Roman" w:hAnsi="Times New Roman"/>
          <w:i/>
          <w:sz w:val="28"/>
          <w:szCs w:val="28"/>
        </w:rPr>
        <w:t>recto</w:t>
      </w:r>
      <w:r w:rsidRPr="009B5A5D">
        <w:rPr>
          <w:rFonts w:ascii="Times New Roman" w:hAnsi="Times New Roman"/>
          <w:sz w:val="28"/>
          <w:szCs w:val="28"/>
        </w:rPr>
        <w:t xml:space="preserve"> - </w:t>
      </w:r>
      <w:r w:rsidRPr="009B5A5D">
        <w:rPr>
          <w:rFonts w:ascii="Times New Roman" w:hAnsi="Times New Roman"/>
          <w:i/>
          <w:sz w:val="28"/>
          <w:szCs w:val="28"/>
        </w:rPr>
        <w:t>verso</w:t>
      </w:r>
      <w:r w:rsidRPr="009B5A5D">
        <w:rPr>
          <w:rStyle w:val="Rimandonotaapidipagina"/>
          <w:rFonts w:ascii="Times New Roman" w:hAnsi="Times New Roman"/>
          <w:sz w:val="28"/>
          <w:szCs w:val="28"/>
        </w:rPr>
        <w:footnoteReference w:id="14"/>
      </w:r>
      <w:r w:rsidRPr="009B5A5D">
        <w:rPr>
          <w:rFonts w:ascii="Times New Roman" w:hAnsi="Times New Roman"/>
          <w:sz w:val="28"/>
          <w:szCs w:val="28"/>
        </w:rPr>
        <w:t xml:space="preserve">. </w:t>
      </w:r>
      <w:r w:rsidR="00817FAD" w:rsidRPr="00817FAD">
        <w:rPr>
          <w:rFonts w:ascii="Times New Roman" w:hAnsi="Times New Roman"/>
          <w:sz w:val="28"/>
          <w:szCs w:val="28"/>
        </w:rPr>
        <w:t xml:space="preserve"> </w:t>
      </w:r>
    </w:p>
    <w:p w:rsidR="00BB6DFB" w:rsidRDefault="00817FAD" w:rsidP="00A12492">
      <w:pPr>
        <w:spacing w:after="0" w:line="240" w:lineRule="atLeast"/>
        <w:ind w:right="567"/>
        <w:rPr>
          <w:rFonts w:ascii="Times New Roman" w:hAnsi="Times New Roman"/>
          <w:sz w:val="28"/>
          <w:szCs w:val="28"/>
        </w:rPr>
      </w:pPr>
      <w:r w:rsidRPr="00817FAD">
        <w:rPr>
          <w:rFonts w:ascii="Times New Roman" w:hAnsi="Times New Roman"/>
          <w:sz w:val="28"/>
          <w:szCs w:val="28"/>
        </w:rPr>
        <w:t xml:space="preserve">La scoperta </w:t>
      </w:r>
      <w:r w:rsidR="001B00CD">
        <w:rPr>
          <w:rFonts w:ascii="Times New Roman" w:hAnsi="Times New Roman"/>
          <w:sz w:val="28"/>
          <w:szCs w:val="28"/>
        </w:rPr>
        <w:t xml:space="preserve">infine </w:t>
      </w:r>
      <w:r w:rsidRPr="00817FAD">
        <w:rPr>
          <w:rFonts w:ascii="Times New Roman" w:hAnsi="Times New Roman"/>
          <w:sz w:val="28"/>
          <w:szCs w:val="28"/>
        </w:rPr>
        <w:t xml:space="preserve">a  </w:t>
      </w:r>
      <w:proofErr w:type="spellStart"/>
      <w:r w:rsidRPr="00817FAD">
        <w:rPr>
          <w:rFonts w:ascii="Times New Roman" w:hAnsi="Times New Roman"/>
          <w:sz w:val="28"/>
          <w:szCs w:val="28"/>
        </w:rPr>
        <w:t>Vindolanda</w:t>
      </w:r>
      <w:proofErr w:type="spellEnd"/>
      <w:r w:rsidRPr="00817FAD">
        <w:rPr>
          <w:rFonts w:ascii="Times New Roman" w:hAnsi="Times New Roman"/>
          <w:sz w:val="28"/>
          <w:szCs w:val="28"/>
        </w:rPr>
        <w:t xml:space="preserve">  (Inghilterra) di  tavolette  lignee  “a soffietto”  da  leggere  sfogliandole da destra verso sinistra o dal basso verso l’alto risalenti al I - II sec.  d.C., mostra la persistenza   del   più   antico  modello  romano,   idoneo  per registrazioni e testi di non troppo  estesa  portata</w:t>
      </w:r>
      <w:r w:rsidRPr="00817FAD">
        <w:rPr>
          <w:rStyle w:val="Rimandonotaapidipagina"/>
          <w:rFonts w:ascii="Times New Roman" w:hAnsi="Times New Roman"/>
          <w:sz w:val="28"/>
          <w:szCs w:val="28"/>
        </w:rPr>
        <w:footnoteReference w:id="15"/>
      </w:r>
      <w:r w:rsidRPr="00817FAD">
        <w:rPr>
          <w:rFonts w:ascii="Times New Roman" w:hAnsi="Times New Roman"/>
          <w:sz w:val="28"/>
          <w:szCs w:val="28"/>
        </w:rPr>
        <w:t xml:space="preserve">.  “La nascita  di  una letteratura latina innervata da </w:t>
      </w:r>
      <w:r w:rsidRPr="00817FAD">
        <w:rPr>
          <w:rFonts w:ascii="Times New Roman" w:hAnsi="Times New Roman"/>
          <w:sz w:val="28"/>
          <w:szCs w:val="28"/>
        </w:rPr>
        <w:lastRenderedPageBreak/>
        <w:t>modelli greci”, il trasporto a Roma di intere biblioteche ellenistiche</w:t>
      </w:r>
      <w:r w:rsidRPr="00817FAD">
        <w:rPr>
          <w:rStyle w:val="Rimandonotaapidipagina"/>
          <w:rFonts w:ascii="Times New Roman" w:hAnsi="Times New Roman"/>
          <w:sz w:val="28"/>
          <w:szCs w:val="28"/>
        </w:rPr>
        <w:footnoteReference w:id="16"/>
      </w:r>
      <w:r w:rsidRPr="00817FAD">
        <w:rPr>
          <w:rFonts w:ascii="Times New Roman" w:hAnsi="Times New Roman"/>
          <w:sz w:val="28"/>
          <w:szCs w:val="28"/>
        </w:rPr>
        <w:t xml:space="preserve"> e, soprattutto,  una  più  ampia  diffusione  della scrittura,  che necessitava di più  estesi  e  funzionali  supporti  </w:t>
      </w:r>
      <w:r w:rsidR="00BB6DFB" w:rsidRPr="00817FAD">
        <w:rPr>
          <w:rFonts w:ascii="Times New Roman" w:hAnsi="Times New Roman"/>
          <w:sz w:val="28"/>
          <w:szCs w:val="28"/>
        </w:rPr>
        <w:t>scrittori</w:t>
      </w:r>
      <w:r w:rsidRPr="00817FAD">
        <w:rPr>
          <w:rFonts w:ascii="Times New Roman" w:hAnsi="Times New Roman"/>
          <w:sz w:val="28"/>
          <w:szCs w:val="28"/>
        </w:rPr>
        <w:t xml:space="preserve">, determinò che il rotolo incarnasse sul finire della Repubblica e nei  primi  secoli  dell’Impero  per  le </w:t>
      </w:r>
      <w:proofErr w:type="spellStart"/>
      <w:r w:rsidRPr="00817FAD">
        <w:rPr>
          <w:rFonts w:ascii="Times New Roman" w:hAnsi="Times New Roman"/>
          <w:i/>
          <w:sz w:val="28"/>
          <w:szCs w:val="28"/>
        </w:rPr>
        <w:t>élites</w:t>
      </w:r>
      <w:proofErr w:type="spellEnd"/>
      <w:r w:rsidRPr="00817FAD">
        <w:rPr>
          <w:rFonts w:ascii="Times New Roman" w:hAnsi="Times New Roman"/>
          <w:sz w:val="28"/>
          <w:szCs w:val="28"/>
        </w:rPr>
        <w:t xml:space="preserve"> colte il modello ideale di  libro,  almeno  sino  a  quando  il  codice,  con  la scomparsa  dell’antica  aristocrazia  culturale  e  l’avvento al potere delle classi  medie,  non  riuscì  ad  ottenere  dall’età dioclezianea  in  poi  la  sua  rivincita.  La sopravvivenza del codice durante l’età imperiale era stata garantita - non solo  dall’attaccamento  ad  un antico  modello italico - e dalla novità forse introdotta per la prima volta da Cesare di trasmettere al Senato relazioni non  su tavolette lignee, ma su fogli di papiro tenuti uniti per un lato</w:t>
      </w:r>
      <w:r w:rsidRPr="00817FAD">
        <w:rPr>
          <w:rStyle w:val="Rimandonotaapidipagina"/>
          <w:rFonts w:ascii="Times New Roman" w:hAnsi="Times New Roman"/>
          <w:sz w:val="28"/>
          <w:szCs w:val="28"/>
        </w:rPr>
        <w:footnoteReference w:id="17"/>
      </w:r>
      <w:r w:rsidRPr="00817FAD">
        <w:rPr>
          <w:rFonts w:ascii="Times New Roman" w:hAnsi="Times New Roman"/>
          <w:sz w:val="28"/>
          <w:szCs w:val="28"/>
        </w:rPr>
        <w:t xml:space="preserve">,  ma  anche  da  una  innovazione tecnica nella lavorazione della pergamena,  realizzata a Pergamo tra la fine del III e gli inizi del II sec.  a.C.:  la possibilità </w:t>
      </w:r>
      <w:r w:rsidR="00BB6DFB">
        <w:rPr>
          <w:rFonts w:ascii="Times New Roman" w:hAnsi="Times New Roman"/>
          <w:sz w:val="28"/>
          <w:szCs w:val="28"/>
        </w:rPr>
        <w:t xml:space="preserve">cioè </w:t>
      </w:r>
      <w:r w:rsidRPr="00817FAD">
        <w:rPr>
          <w:rFonts w:ascii="Times New Roman" w:hAnsi="Times New Roman"/>
          <w:sz w:val="28"/>
          <w:szCs w:val="28"/>
        </w:rPr>
        <w:t>di scrivere su entrambe le facciate di un foglio.  Ciò favoriva la creazione di tac</w:t>
      </w:r>
      <w:r w:rsidR="00BB6DFB">
        <w:rPr>
          <w:rFonts w:ascii="Times New Roman" w:hAnsi="Times New Roman"/>
          <w:sz w:val="28"/>
          <w:szCs w:val="28"/>
        </w:rPr>
        <w:t xml:space="preserve">cuini di appunti pergamenacei, </w:t>
      </w:r>
      <w:r w:rsidRPr="00817FAD">
        <w:rPr>
          <w:rFonts w:ascii="Times New Roman" w:hAnsi="Times New Roman"/>
          <w:sz w:val="28"/>
          <w:szCs w:val="28"/>
        </w:rPr>
        <w:t xml:space="preserve">veri e propri </w:t>
      </w:r>
      <w:r w:rsidRPr="00817FAD">
        <w:rPr>
          <w:rFonts w:ascii="Times New Roman" w:hAnsi="Times New Roman"/>
          <w:i/>
          <w:sz w:val="28"/>
          <w:szCs w:val="28"/>
        </w:rPr>
        <w:t>block-notes</w:t>
      </w:r>
      <w:r w:rsidRPr="00817FAD">
        <w:rPr>
          <w:rFonts w:ascii="Times New Roman" w:hAnsi="Times New Roman"/>
          <w:sz w:val="28"/>
          <w:szCs w:val="28"/>
        </w:rPr>
        <w:t xml:space="preserve">,  utilizzati per  la  maggiore  capacità  in  rapporto al contenuto e per la loro praticità soprattutto nella  letteratura  tecnica  e  popolare, insieme  alle piccole tavolette di legno denominate </w:t>
      </w:r>
      <w:r w:rsidRPr="00817FAD">
        <w:rPr>
          <w:rFonts w:ascii="Times New Roman" w:hAnsi="Times New Roman"/>
          <w:i/>
          <w:sz w:val="28"/>
          <w:szCs w:val="28"/>
        </w:rPr>
        <w:t>codicilli</w:t>
      </w:r>
      <w:r w:rsidRPr="00817FAD">
        <w:rPr>
          <w:rFonts w:ascii="Times New Roman" w:hAnsi="Times New Roman"/>
          <w:sz w:val="28"/>
          <w:szCs w:val="28"/>
        </w:rPr>
        <w:t xml:space="preserve">  e </w:t>
      </w:r>
      <w:proofErr w:type="spellStart"/>
      <w:r w:rsidRPr="00817FAD">
        <w:rPr>
          <w:rFonts w:ascii="Times New Roman" w:hAnsi="Times New Roman"/>
          <w:i/>
          <w:sz w:val="28"/>
          <w:szCs w:val="28"/>
        </w:rPr>
        <w:t>pugillaria</w:t>
      </w:r>
      <w:proofErr w:type="spellEnd"/>
      <w:r w:rsidRPr="00817FAD">
        <w:rPr>
          <w:rFonts w:ascii="Times New Roman" w:hAnsi="Times New Roman"/>
          <w:sz w:val="28"/>
          <w:szCs w:val="28"/>
        </w:rPr>
        <w:t>.  Non solo dai codici sacri,  siano essi di lino o di pergamena, m</w:t>
      </w:r>
      <w:r w:rsidR="00BB6DFB">
        <w:rPr>
          <w:rFonts w:ascii="Times New Roman" w:hAnsi="Times New Roman"/>
          <w:sz w:val="28"/>
          <w:szCs w:val="28"/>
        </w:rPr>
        <w:t xml:space="preserve">a anche da queste </w:t>
      </w:r>
      <w:r w:rsidR="00361E2B">
        <w:rPr>
          <w:rFonts w:ascii="Times New Roman" w:hAnsi="Times New Roman"/>
          <w:sz w:val="28"/>
          <w:szCs w:val="28"/>
        </w:rPr>
        <w:t xml:space="preserve">scritture </w:t>
      </w:r>
      <w:r w:rsidRPr="00817FAD">
        <w:rPr>
          <w:rFonts w:ascii="Times New Roman" w:hAnsi="Times New Roman"/>
          <w:sz w:val="28"/>
          <w:szCs w:val="28"/>
        </w:rPr>
        <w:t>provvisorie, occasionali, quotidiane</w:t>
      </w:r>
      <w:r w:rsidR="00361E2B">
        <w:rPr>
          <w:rFonts w:ascii="Times New Roman" w:hAnsi="Times New Roman"/>
          <w:sz w:val="28"/>
          <w:szCs w:val="28"/>
        </w:rPr>
        <w:t xml:space="preserve">, </w:t>
      </w:r>
      <w:r w:rsidRPr="00817FAD">
        <w:rPr>
          <w:rFonts w:ascii="Times New Roman" w:hAnsi="Times New Roman"/>
          <w:sz w:val="28"/>
          <w:szCs w:val="28"/>
        </w:rPr>
        <w:t>deriva l’odierno modello di libro</w:t>
      </w:r>
      <w:r w:rsidR="00AA6F3F">
        <w:rPr>
          <w:rFonts w:ascii="Times New Roman" w:hAnsi="Times New Roman"/>
          <w:sz w:val="28"/>
          <w:szCs w:val="28"/>
        </w:rPr>
        <w:t xml:space="preserve"> e di codice di diritto</w:t>
      </w:r>
      <w:r w:rsidRPr="00817FAD">
        <w:rPr>
          <w:rFonts w:ascii="Times New Roman" w:hAnsi="Times New Roman"/>
          <w:sz w:val="28"/>
          <w:szCs w:val="28"/>
        </w:rPr>
        <w:t>.</w:t>
      </w:r>
    </w:p>
    <w:p w:rsidR="00AA6F3F" w:rsidRDefault="00807FFC" w:rsidP="00A12492">
      <w:pPr>
        <w:spacing w:after="0" w:line="240" w:lineRule="atLeast"/>
        <w:ind w:right="567"/>
        <w:rPr>
          <w:rFonts w:ascii="Times New Roman" w:hAnsi="Times New Roman"/>
          <w:sz w:val="28"/>
          <w:szCs w:val="28"/>
        </w:rPr>
      </w:pPr>
      <w:r>
        <w:rPr>
          <w:rFonts w:ascii="Times New Roman" w:hAnsi="Times New Roman"/>
          <w:sz w:val="28"/>
          <w:szCs w:val="28"/>
        </w:rPr>
        <w:t>Ma a</w:t>
      </w:r>
      <w:r w:rsidR="00AA6F3F">
        <w:rPr>
          <w:rFonts w:ascii="Times New Roman" w:hAnsi="Times New Roman"/>
          <w:sz w:val="28"/>
          <w:szCs w:val="28"/>
        </w:rPr>
        <w:t>ltri fattori</w:t>
      </w:r>
      <w:r>
        <w:rPr>
          <w:rFonts w:ascii="Times New Roman" w:hAnsi="Times New Roman"/>
          <w:sz w:val="28"/>
          <w:szCs w:val="28"/>
        </w:rPr>
        <w:t xml:space="preserve">, oltre </w:t>
      </w:r>
      <w:r w:rsidR="00BB6DFB">
        <w:rPr>
          <w:rFonts w:ascii="Times New Roman" w:hAnsi="Times New Roman"/>
          <w:sz w:val="28"/>
          <w:szCs w:val="28"/>
        </w:rPr>
        <w:t xml:space="preserve">a </w:t>
      </w:r>
      <w:r w:rsidR="00361E2B">
        <w:rPr>
          <w:rFonts w:ascii="Times New Roman" w:hAnsi="Times New Roman"/>
          <w:sz w:val="28"/>
          <w:szCs w:val="28"/>
        </w:rPr>
        <w:t xml:space="preserve">questi </w:t>
      </w:r>
      <w:r w:rsidR="00BE6AA0">
        <w:rPr>
          <w:rFonts w:ascii="Times New Roman" w:hAnsi="Times New Roman"/>
          <w:sz w:val="28"/>
          <w:szCs w:val="28"/>
        </w:rPr>
        <w:t>formali</w:t>
      </w:r>
      <w:r w:rsidR="00361E2B">
        <w:rPr>
          <w:rFonts w:ascii="Times New Roman" w:hAnsi="Times New Roman"/>
          <w:sz w:val="28"/>
          <w:szCs w:val="28"/>
        </w:rPr>
        <w:t xml:space="preserve">, </w:t>
      </w:r>
      <w:r w:rsidR="00AA6F3F">
        <w:rPr>
          <w:rFonts w:ascii="Times New Roman" w:hAnsi="Times New Roman"/>
          <w:sz w:val="28"/>
          <w:szCs w:val="28"/>
        </w:rPr>
        <w:t>hanno però contribuito alla genesi del codice di diritto.</w:t>
      </w:r>
    </w:p>
    <w:p w:rsidR="00A84031" w:rsidRDefault="00A84031" w:rsidP="00A12492">
      <w:pPr>
        <w:spacing w:after="0" w:line="240" w:lineRule="atLeast"/>
        <w:ind w:right="567"/>
        <w:rPr>
          <w:rFonts w:ascii="Times New Roman" w:hAnsi="Times New Roman"/>
          <w:sz w:val="28"/>
          <w:szCs w:val="28"/>
        </w:rPr>
      </w:pPr>
    </w:p>
    <w:p w:rsidR="00A84031" w:rsidRPr="00A84031" w:rsidRDefault="00A84031" w:rsidP="00A84031">
      <w:pPr>
        <w:pStyle w:val="Paragrafoelenco"/>
        <w:numPr>
          <w:ilvl w:val="0"/>
          <w:numId w:val="1"/>
        </w:numPr>
        <w:spacing w:after="0" w:line="240" w:lineRule="atLeast"/>
        <w:ind w:right="567"/>
        <w:rPr>
          <w:rFonts w:ascii="Times New Roman" w:hAnsi="Times New Roman"/>
          <w:sz w:val="28"/>
          <w:szCs w:val="28"/>
        </w:rPr>
      </w:pPr>
      <w:r>
        <w:rPr>
          <w:rFonts w:ascii="Times New Roman" w:hAnsi="Times New Roman"/>
          <w:sz w:val="28"/>
          <w:szCs w:val="28"/>
        </w:rPr>
        <w:t xml:space="preserve">Il passaggio dal </w:t>
      </w:r>
      <w:proofErr w:type="spellStart"/>
      <w:r>
        <w:rPr>
          <w:rFonts w:ascii="Times New Roman" w:hAnsi="Times New Roman"/>
          <w:i/>
          <w:sz w:val="28"/>
          <w:szCs w:val="28"/>
        </w:rPr>
        <w:t>volumen</w:t>
      </w:r>
      <w:proofErr w:type="spellEnd"/>
      <w:r>
        <w:rPr>
          <w:rFonts w:ascii="Times New Roman" w:hAnsi="Times New Roman"/>
          <w:i/>
          <w:sz w:val="28"/>
          <w:szCs w:val="28"/>
        </w:rPr>
        <w:t xml:space="preserve"> </w:t>
      </w:r>
      <w:r>
        <w:rPr>
          <w:rFonts w:ascii="Times New Roman" w:hAnsi="Times New Roman"/>
          <w:sz w:val="28"/>
          <w:szCs w:val="28"/>
        </w:rPr>
        <w:t xml:space="preserve">al </w:t>
      </w:r>
      <w:proofErr w:type="spellStart"/>
      <w:r>
        <w:rPr>
          <w:rFonts w:ascii="Times New Roman" w:hAnsi="Times New Roman"/>
          <w:i/>
          <w:sz w:val="28"/>
          <w:szCs w:val="28"/>
        </w:rPr>
        <w:t>codex</w:t>
      </w:r>
      <w:proofErr w:type="spellEnd"/>
      <w:r>
        <w:rPr>
          <w:rFonts w:ascii="Times New Roman" w:hAnsi="Times New Roman"/>
          <w:i/>
          <w:sz w:val="28"/>
          <w:szCs w:val="28"/>
        </w:rPr>
        <w:t>.</w:t>
      </w:r>
    </w:p>
    <w:p w:rsidR="00A84031" w:rsidRDefault="00A84031" w:rsidP="00A12492">
      <w:pPr>
        <w:pStyle w:val="Rientrocorpodeltesto"/>
        <w:spacing w:after="0" w:line="240" w:lineRule="atLeast"/>
        <w:ind w:left="0" w:right="567" w:firstLine="425"/>
        <w:rPr>
          <w:sz w:val="28"/>
          <w:szCs w:val="28"/>
        </w:rPr>
      </w:pPr>
    </w:p>
    <w:p w:rsidR="00807FFC" w:rsidRPr="00807FFC" w:rsidRDefault="00807FFC" w:rsidP="00A12492">
      <w:pPr>
        <w:pStyle w:val="Rientrocorpodeltesto"/>
        <w:spacing w:after="0" w:line="240" w:lineRule="atLeast"/>
        <w:ind w:left="0" w:right="567" w:firstLine="425"/>
        <w:rPr>
          <w:sz w:val="28"/>
          <w:szCs w:val="28"/>
        </w:rPr>
      </w:pPr>
      <w:r w:rsidRPr="00807FFC">
        <w:rPr>
          <w:sz w:val="28"/>
          <w:szCs w:val="28"/>
        </w:rPr>
        <w:t>Nel periodo compreso tra la fine de</w:t>
      </w:r>
      <w:r w:rsidR="00F865CC">
        <w:rPr>
          <w:sz w:val="28"/>
          <w:szCs w:val="28"/>
        </w:rPr>
        <w:t xml:space="preserve">l III e gli inizi del  IV sec. </w:t>
      </w:r>
      <w:r w:rsidRPr="00807FFC">
        <w:rPr>
          <w:sz w:val="28"/>
          <w:szCs w:val="28"/>
        </w:rPr>
        <w:t xml:space="preserve">d.C. il mondo romano </w:t>
      </w:r>
      <w:r w:rsidR="00A3291F">
        <w:rPr>
          <w:sz w:val="28"/>
          <w:szCs w:val="28"/>
        </w:rPr>
        <w:t xml:space="preserve">infatti </w:t>
      </w:r>
      <w:r w:rsidRPr="00807FFC">
        <w:rPr>
          <w:sz w:val="28"/>
          <w:szCs w:val="28"/>
        </w:rPr>
        <w:t xml:space="preserve">abbandonò l’antica forma libraria del </w:t>
      </w:r>
      <w:proofErr w:type="spellStart"/>
      <w:r w:rsidRPr="00807FFC">
        <w:rPr>
          <w:i/>
          <w:sz w:val="28"/>
          <w:szCs w:val="28"/>
        </w:rPr>
        <w:t>volumen</w:t>
      </w:r>
      <w:proofErr w:type="spellEnd"/>
      <w:r w:rsidRPr="00807FFC">
        <w:rPr>
          <w:sz w:val="28"/>
          <w:szCs w:val="28"/>
        </w:rPr>
        <w:t xml:space="preserve"> per adottare il formato del </w:t>
      </w:r>
      <w:proofErr w:type="spellStart"/>
      <w:r w:rsidRPr="00807FFC">
        <w:rPr>
          <w:i/>
          <w:sz w:val="28"/>
          <w:szCs w:val="28"/>
        </w:rPr>
        <w:t>codex</w:t>
      </w:r>
      <w:proofErr w:type="spellEnd"/>
      <w:r w:rsidRPr="00807FFC">
        <w:rPr>
          <w:sz w:val="28"/>
          <w:szCs w:val="28"/>
        </w:rPr>
        <w:t xml:space="preserve">. Ancora al tempo di </w:t>
      </w:r>
      <w:proofErr w:type="spellStart"/>
      <w:r w:rsidRPr="00807FFC">
        <w:rPr>
          <w:sz w:val="28"/>
          <w:szCs w:val="28"/>
        </w:rPr>
        <w:t>Ulpiano</w:t>
      </w:r>
      <w:proofErr w:type="spellEnd"/>
      <w:r w:rsidRPr="00807FFC">
        <w:rPr>
          <w:sz w:val="28"/>
          <w:szCs w:val="28"/>
        </w:rPr>
        <w:t xml:space="preserve">, nel III sec. d.C., si poneva la questione se fossero da considerare libri veri e propri quelli scritti  </w:t>
      </w:r>
      <w:r w:rsidRPr="00807FFC">
        <w:rPr>
          <w:i/>
          <w:sz w:val="28"/>
          <w:szCs w:val="28"/>
        </w:rPr>
        <w:t xml:space="preserve">in  </w:t>
      </w:r>
      <w:proofErr w:type="spellStart"/>
      <w:r w:rsidRPr="00807FFC">
        <w:rPr>
          <w:i/>
          <w:sz w:val="28"/>
          <w:szCs w:val="28"/>
        </w:rPr>
        <w:t>codicibus</w:t>
      </w:r>
      <w:proofErr w:type="spellEnd"/>
      <w:r w:rsidRPr="00807FFC">
        <w:rPr>
          <w:sz w:val="28"/>
          <w:szCs w:val="28"/>
        </w:rPr>
        <w:t xml:space="preserve"> di  qualsiasi  materia</w:t>
      </w:r>
      <w:r w:rsidRPr="00807FFC">
        <w:rPr>
          <w:rStyle w:val="Rimandonotaapidipagina"/>
          <w:sz w:val="28"/>
          <w:szCs w:val="28"/>
        </w:rPr>
        <w:footnoteReference w:id="18"/>
      </w:r>
      <w:r w:rsidRPr="00807FFC">
        <w:rPr>
          <w:sz w:val="28"/>
          <w:szCs w:val="28"/>
        </w:rPr>
        <w:t>,  ma  già  intorno  al 372</w:t>
      </w:r>
      <w:r w:rsidR="00F865CC">
        <w:rPr>
          <w:sz w:val="28"/>
          <w:szCs w:val="28"/>
        </w:rPr>
        <w:t xml:space="preserve"> d.C.</w:t>
      </w:r>
      <w:r w:rsidRPr="00807FFC">
        <w:rPr>
          <w:sz w:val="28"/>
          <w:szCs w:val="28"/>
        </w:rPr>
        <w:t xml:space="preserve"> i codici assunsero in campo giuridico il predominio,</w:t>
      </w:r>
      <w:r w:rsidR="00A3291F">
        <w:rPr>
          <w:sz w:val="28"/>
          <w:szCs w:val="28"/>
        </w:rPr>
        <w:t xml:space="preserve"> </w:t>
      </w:r>
      <w:r w:rsidRPr="00807FFC">
        <w:rPr>
          <w:sz w:val="28"/>
          <w:szCs w:val="28"/>
        </w:rPr>
        <w:t>al punto da esserne sistematicamente previsto il restauro</w:t>
      </w:r>
      <w:r w:rsidRPr="00807FFC">
        <w:rPr>
          <w:rStyle w:val="Rimandonotaapidipagina"/>
          <w:sz w:val="28"/>
          <w:szCs w:val="28"/>
        </w:rPr>
        <w:footnoteReference w:id="19"/>
      </w:r>
      <w:r w:rsidRPr="00807FFC">
        <w:rPr>
          <w:sz w:val="28"/>
          <w:szCs w:val="28"/>
        </w:rPr>
        <w:t xml:space="preserve">.  </w:t>
      </w:r>
    </w:p>
    <w:p w:rsidR="00807FFC" w:rsidRPr="00807FFC" w:rsidRDefault="00807FFC" w:rsidP="00A12492">
      <w:pPr>
        <w:pStyle w:val="Rientrocorpodeltesto"/>
        <w:spacing w:after="0" w:line="240" w:lineRule="atLeast"/>
        <w:ind w:left="0" w:right="567" w:firstLine="425"/>
        <w:rPr>
          <w:sz w:val="28"/>
          <w:szCs w:val="28"/>
        </w:rPr>
      </w:pPr>
      <w:r w:rsidRPr="00807FFC">
        <w:rPr>
          <w:sz w:val="28"/>
          <w:szCs w:val="28"/>
        </w:rPr>
        <w:t xml:space="preserve">Le ragioni del passaggio dal rotolo al codice sono state via </w:t>
      </w:r>
      <w:proofErr w:type="spellStart"/>
      <w:r w:rsidRPr="00807FFC">
        <w:rPr>
          <w:sz w:val="28"/>
          <w:szCs w:val="28"/>
        </w:rPr>
        <w:t>via</w:t>
      </w:r>
      <w:proofErr w:type="spellEnd"/>
      <w:r w:rsidRPr="00807FFC">
        <w:rPr>
          <w:sz w:val="28"/>
          <w:szCs w:val="28"/>
        </w:rPr>
        <w:t xml:space="preserve">  rintracciate  in  motivi  di  natura   pratica,   come   la maneggevolezza  e  la  facilità  di lettura,  l’idoneità all’uso scolastico,  la maggiore capacità di contenuto,  l’economicità e la  maggiore  rapidità  nel  ritrovare  un brano da citare.  Non sembra invece che abbia in qualche  modo  influito  il  tipo  di materiale scrittorio prevalentemente impiegato: il papiro per il </w:t>
      </w:r>
      <w:proofErr w:type="spellStart"/>
      <w:r w:rsidRPr="00807FFC">
        <w:rPr>
          <w:i/>
          <w:sz w:val="28"/>
          <w:szCs w:val="28"/>
        </w:rPr>
        <w:t>volumen</w:t>
      </w:r>
      <w:proofErr w:type="spellEnd"/>
      <w:r w:rsidRPr="00807FFC">
        <w:rPr>
          <w:sz w:val="28"/>
          <w:szCs w:val="28"/>
        </w:rPr>
        <w:t xml:space="preserve">,  la  pergamena per il </w:t>
      </w:r>
      <w:proofErr w:type="spellStart"/>
      <w:r w:rsidRPr="00807FFC">
        <w:rPr>
          <w:i/>
          <w:sz w:val="28"/>
          <w:szCs w:val="28"/>
        </w:rPr>
        <w:t>codex</w:t>
      </w:r>
      <w:proofErr w:type="spellEnd"/>
      <w:r w:rsidRPr="00807FFC">
        <w:rPr>
          <w:sz w:val="28"/>
          <w:szCs w:val="28"/>
        </w:rPr>
        <w:t xml:space="preserve">.  La pergamena infatti pare che sia stata utilizzata a Roma già dal I </w:t>
      </w:r>
      <w:r w:rsidRPr="00807FFC">
        <w:rPr>
          <w:sz w:val="28"/>
          <w:szCs w:val="28"/>
        </w:rPr>
        <w:lastRenderedPageBreak/>
        <w:t>sec.  a.C.  e, d’altra parte,  a  partire  da  quell’età</w:t>
      </w:r>
      <w:r w:rsidR="00A3291F">
        <w:rPr>
          <w:sz w:val="28"/>
          <w:szCs w:val="28"/>
        </w:rPr>
        <w:t>,</w:t>
      </w:r>
      <w:r w:rsidRPr="00807FFC">
        <w:rPr>
          <w:sz w:val="28"/>
          <w:szCs w:val="28"/>
        </w:rPr>
        <w:t xml:space="preserve"> pian piano </w:t>
      </w:r>
      <w:r w:rsidR="00A3291F">
        <w:rPr>
          <w:sz w:val="28"/>
          <w:szCs w:val="28"/>
        </w:rPr>
        <w:t xml:space="preserve">e con qualche battuta d'arresto, </w:t>
      </w:r>
      <w:r w:rsidRPr="00807FFC">
        <w:rPr>
          <w:sz w:val="28"/>
          <w:szCs w:val="28"/>
        </w:rPr>
        <w:t xml:space="preserve">divennero comuni  i codici composti di fogli di papiro.  </w:t>
      </w:r>
    </w:p>
    <w:p w:rsidR="00807FFC" w:rsidRPr="00807FFC" w:rsidRDefault="00807FFC" w:rsidP="00A12492">
      <w:pPr>
        <w:pStyle w:val="Rientrocorpodeltesto"/>
        <w:spacing w:after="0" w:line="240" w:lineRule="atLeast"/>
        <w:ind w:left="0" w:right="567" w:firstLine="425"/>
        <w:rPr>
          <w:sz w:val="28"/>
          <w:szCs w:val="28"/>
        </w:rPr>
      </w:pPr>
      <w:r w:rsidRPr="00807FFC">
        <w:rPr>
          <w:sz w:val="28"/>
          <w:szCs w:val="28"/>
        </w:rPr>
        <w:t xml:space="preserve">Molteplici </w:t>
      </w:r>
      <w:r w:rsidR="002B2296">
        <w:rPr>
          <w:sz w:val="28"/>
          <w:szCs w:val="28"/>
        </w:rPr>
        <w:t xml:space="preserve">dunque </w:t>
      </w:r>
      <w:r w:rsidRPr="00807FFC">
        <w:rPr>
          <w:sz w:val="28"/>
          <w:szCs w:val="28"/>
        </w:rPr>
        <w:t xml:space="preserve">sembrano essere le </w:t>
      </w:r>
      <w:r w:rsidR="002B2296">
        <w:rPr>
          <w:sz w:val="28"/>
          <w:szCs w:val="28"/>
        </w:rPr>
        <w:t xml:space="preserve">componenti che possono avere reso familiare ai Romani il formato </w:t>
      </w:r>
      <w:r w:rsidR="00A3291F">
        <w:rPr>
          <w:sz w:val="28"/>
          <w:szCs w:val="28"/>
        </w:rPr>
        <w:t xml:space="preserve">del </w:t>
      </w:r>
      <w:r w:rsidR="002B2296">
        <w:rPr>
          <w:sz w:val="28"/>
          <w:szCs w:val="28"/>
        </w:rPr>
        <w:t>codice</w:t>
      </w:r>
      <w:r w:rsidRPr="00807FFC">
        <w:rPr>
          <w:sz w:val="28"/>
          <w:szCs w:val="28"/>
        </w:rPr>
        <w:t xml:space="preserve">:  </w:t>
      </w:r>
      <w:r w:rsidR="002B2296">
        <w:rPr>
          <w:sz w:val="28"/>
          <w:szCs w:val="28"/>
        </w:rPr>
        <w:t>da</w:t>
      </w:r>
      <w:r w:rsidR="00A3291F">
        <w:rPr>
          <w:sz w:val="28"/>
          <w:szCs w:val="28"/>
        </w:rPr>
        <w:t>ll'impiego de</w:t>
      </w:r>
      <w:r w:rsidR="002B2296">
        <w:rPr>
          <w:sz w:val="28"/>
          <w:szCs w:val="28"/>
        </w:rPr>
        <w:t xml:space="preserve">i </w:t>
      </w:r>
      <w:r w:rsidR="002B2296">
        <w:rPr>
          <w:i/>
          <w:sz w:val="28"/>
          <w:szCs w:val="28"/>
        </w:rPr>
        <w:t xml:space="preserve">libri </w:t>
      </w:r>
      <w:proofErr w:type="spellStart"/>
      <w:r w:rsidR="002B2296">
        <w:rPr>
          <w:i/>
          <w:sz w:val="28"/>
          <w:szCs w:val="28"/>
        </w:rPr>
        <w:t>lintei</w:t>
      </w:r>
      <w:proofErr w:type="spellEnd"/>
      <w:r w:rsidR="002B2296">
        <w:rPr>
          <w:i/>
          <w:sz w:val="28"/>
          <w:szCs w:val="28"/>
        </w:rPr>
        <w:t xml:space="preserve"> </w:t>
      </w:r>
      <w:r w:rsidR="002B2296" w:rsidRPr="00807FFC">
        <w:rPr>
          <w:sz w:val="28"/>
          <w:szCs w:val="28"/>
        </w:rPr>
        <w:t xml:space="preserve">di </w:t>
      </w:r>
      <w:r w:rsidR="002B2296">
        <w:rPr>
          <w:sz w:val="28"/>
          <w:szCs w:val="28"/>
        </w:rPr>
        <w:t>uso</w:t>
      </w:r>
      <w:r w:rsidR="002B2296" w:rsidRPr="00807FFC">
        <w:rPr>
          <w:sz w:val="28"/>
          <w:szCs w:val="28"/>
        </w:rPr>
        <w:t xml:space="preserve"> assai antic</w:t>
      </w:r>
      <w:r w:rsidR="002B2296">
        <w:rPr>
          <w:sz w:val="28"/>
          <w:szCs w:val="28"/>
        </w:rPr>
        <w:t>o,</w:t>
      </w:r>
      <w:r w:rsidR="002B2296" w:rsidRPr="00807FFC">
        <w:rPr>
          <w:sz w:val="28"/>
          <w:szCs w:val="28"/>
        </w:rPr>
        <w:t xml:space="preserve"> al libr</w:t>
      </w:r>
      <w:r w:rsidR="002B2296">
        <w:rPr>
          <w:sz w:val="28"/>
          <w:szCs w:val="28"/>
        </w:rPr>
        <w:t>etto</w:t>
      </w:r>
      <w:r w:rsidR="002B2296" w:rsidRPr="00807FFC">
        <w:rPr>
          <w:sz w:val="28"/>
          <w:szCs w:val="28"/>
        </w:rPr>
        <w:t xml:space="preserve"> “a soffietto”</w:t>
      </w:r>
      <w:r w:rsidR="00A3291F">
        <w:rPr>
          <w:sz w:val="28"/>
          <w:szCs w:val="28"/>
        </w:rPr>
        <w:t>;</w:t>
      </w:r>
      <w:r w:rsidR="002B2296" w:rsidRPr="00807FFC">
        <w:rPr>
          <w:sz w:val="28"/>
          <w:szCs w:val="28"/>
        </w:rPr>
        <w:t xml:space="preserve"> </w:t>
      </w:r>
      <w:r w:rsidRPr="00807FFC">
        <w:rPr>
          <w:sz w:val="28"/>
          <w:szCs w:val="28"/>
        </w:rPr>
        <w:t>dai  codici  lignei  che  presentano  legature simili ai primi codici papiracei</w:t>
      </w:r>
      <w:r w:rsidRPr="00807FFC">
        <w:rPr>
          <w:rStyle w:val="Rimandonotaapidipagina"/>
          <w:sz w:val="28"/>
          <w:szCs w:val="28"/>
        </w:rPr>
        <w:footnoteReference w:id="20"/>
      </w:r>
      <w:r w:rsidRPr="00807FFC">
        <w:rPr>
          <w:sz w:val="28"/>
          <w:szCs w:val="28"/>
        </w:rPr>
        <w:t xml:space="preserve">,  al taccuino membranaceo </w:t>
      </w:r>
      <w:r w:rsidR="002B2296">
        <w:rPr>
          <w:sz w:val="28"/>
          <w:szCs w:val="28"/>
        </w:rPr>
        <w:t xml:space="preserve">o </w:t>
      </w:r>
      <w:r w:rsidRPr="00807FFC">
        <w:rPr>
          <w:sz w:val="28"/>
          <w:szCs w:val="28"/>
        </w:rPr>
        <w:t xml:space="preserve">i </w:t>
      </w:r>
      <w:r w:rsidR="00275E33">
        <w:rPr>
          <w:sz w:val="28"/>
          <w:szCs w:val="28"/>
        </w:rPr>
        <w:t xml:space="preserve">minuscoli </w:t>
      </w:r>
      <w:proofErr w:type="spellStart"/>
      <w:r w:rsidRPr="00807FFC">
        <w:rPr>
          <w:i/>
          <w:sz w:val="28"/>
          <w:szCs w:val="28"/>
        </w:rPr>
        <w:t>pugillaria</w:t>
      </w:r>
      <w:proofErr w:type="spellEnd"/>
      <w:r w:rsidRPr="00807FFC">
        <w:rPr>
          <w:sz w:val="28"/>
          <w:szCs w:val="28"/>
        </w:rPr>
        <w:t xml:space="preserve"> lignei, da sfogliare come </w:t>
      </w:r>
      <w:r w:rsidRPr="00807FFC">
        <w:rPr>
          <w:i/>
          <w:sz w:val="28"/>
          <w:szCs w:val="28"/>
        </w:rPr>
        <w:t>block-notes</w:t>
      </w:r>
      <w:r w:rsidRPr="00807FFC">
        <w:rPr>
          <w:sz w:val="28"/>
          <w:szCs w:val="28"/>
        </w:rPr>
        <w:t xml:space="preserve">.  </w:t>
      </w:r>
    </w:p>
    <w:p w:rsidR="00807FFC" w:rsidRPr="00807FFC" w:rsidRDefault="00807FFC" w:rsidP="00A12492">
      <w:pPr>
        <w:pStyle w:val="Indirizzomittentebreve"/>
        <w:spacing w:line="240" w:lineRule="atLeast"/>
        <w:ind w:right="567" w:firstLine="426"/>
        <w:rPr>
          <w:sz w:val="28"/>
          <w:szCs w:val="28"/>
        </w:rPr>
      </w:pPr>
      <w:r w:rsidRPr="00807FFC">
        <w:rPr>
          <w:sz w:val="28"/>
          <w:szCs w:val="28"/>
        </w:rPr>
        <w:t xml:space="preserve">Se  il codice poteva essere </w:t>
      </w:r>
      <w:r w:rsidR="00B938DF">
        <w:rPr>
          <w:sz w:val="28"/>
          <w:szCs w:val="28"/>
        </w:rPr>
        <w:t>consulta</w:t>
      </w:r>
      <w:r w:rsidR="00F865CC">
        <w:rPr>
          <w:sz w:val="28"/>
          <w:szCs w:val="28"/>
        </w:rPr>
        <w:t>t</w:t>
      </w:r>
      <w:r w:rsidRPr="00807FFC">
        <w:rPr>
          <w:sz w:val="28"/>
          <w:szCs w:val="28"/>
        </w:rPr>
        <w:t>o impegnando una sola mano, altrettanto importante era la circostanza che in un’epoca  nella quale  era invalso il ricorso ad una letteratura di riferimento, sia essa rappresentata dalle  Scritture  Sacre,  che  da</w:t>
      </w:r>
      <w:r w:rsidR="00F865CC">
        <w:rPr>
          <w:sz w:val="28"/>
          <w:szCs w:val="28"/>
        </w:rPr>
        <w:t xml:space="preserve">i  vasti commentari giuridici o dalle </w:t>
      </w:r>
      <w:r w:rsidRPr="00807FFC">
        <w:rPr>
          <w:sz w:val="28"/>
          <w:szCs w:val="28"/>
        </w:rPr>
        <w:t>raccolt</w:t>
      </w:r>
      <w:r w:rsidR="002B2296">
        <w:rPr>
          <w:sz w:val="28"/>
          <w:szCs w:val="28"/>
        </w:rPr>
        <w:t xml:space="preserve">e di provvedimenti dell’Impero, </w:t>
      </w:r>
      <w:r w:rsidRPr="00807FFC">
        <w:rPr>
          <w:sz w:val="28"/>
          <w:szCs w:val="28"/>
        </w:rPr>
        <w:t>la possibilità</w:t>
      </w:r>
      <w:r w:rsidR="002B2296">
        <w:rPr>
          <w:sz w:val="28"/>
          <w:szCs w:val="28"/>
        </w:rPr>
        <w:t xml:space="preserve"> </w:t>
      </w:r>
      <w:r w:rsidR="00A3291F">
        <w:rPr>
          <w:sz w:val="28"/>
          <w:szCs w:val="28"/>
        </w:rPr>
        <w:t xml:space="preserve">dell’immediato    reperimento </w:t>
      </w:r>
      <w:r w:rsidR="002B2296">
        <w:rPr>
          <w:sz w:val="28"/>
          <w:szCs w:val="28"/>
        </w:rPr>
        <w:t xml:space="preserve">di un passo </w:t>
      </w:r>
      <w:r w:rsidR="00717A34">
        <w:rPr>
          <w:sz w:val="28"/>
          <w:szCs w:val="28"/>
        </w:rPr>
        <w:t xml:space="preserve">costituiva </w:t>
      </w:r>
      <w:r w:rsidRPr="00807FFC">
        <w:rPr>
          <w:sz w:val="28"/>
          <w:szCs w:val="28"/>
        </w:rPr>
        <w:t>un</w:t>
      </w:r>
      <w:r w:rsidR="00717A34">
        <w:rPr>
          <w:sz w:val="28"/>
          <w:szCs w:val="28"/>
        </w:rPr>
        <w:t xml:space="preserve"> </w:t>
      </w:r>
      <w:r w:rsidRPr="00807FFC">
        <w:rPr>
          <w:sz w:val="28"/>
          <w:szCs w:val="28"/>
        </w:rPr>
        <w:t>vantaggio</w:t>
      </w:r>
      <w:r w:rsidR="00F865CC" w:rsidRPr="00F865CC">
        <w:rPr>
          <w:sz w:val="28"/>
          <w:szCs w:val="28"/>
        </w:rPr>
        <w:t xml:space="preserve"> </w:t>
      </w:r>
      <w:r w:rsidR="00F865CC" w:rsidRPr="00807FFC">
        <w:rPr>
          <w:sz w:val="28"/>
          <w:szCs w:val="28"/>
        </w:rPr>
        <w:t>i</w:t>
      </w:r>
      <w:r w:rsidR="00A3291F">
        <w:rPr>
          <w:sz w:val="28"/>
          <w:szCs w:val="28"/>
        </w:rPr>
        <w:t>mprescind</w:t>
      </w:r>
      <w:r w:rsidR="00F865CC" w:rsidRPr="00807FFC">
        <w:rPr>
          <w:sz w:val="28"/>
          <w:szCs w:val="28"/>
        </w:rPr>
        <w:t>ibile</w:t>
      </w:r>
      <w:r w:rsidR="00A3291F">
        <w:rPr>
          <w:sz w:val="28"/>
          <w:szCs w:val="28"/>
        </w:rPr>
        <w:t>, che ne assicurava il successo</w:t>
      </w:r>
      <w:r w:rsidR="008D5A56">
        <w:rPr>
          <w:sz w:val="28"/>
          <w:szCs w:val="28"/>
        </w:rPr>
        <w:t xml:space="preserve">. In </w:t>
      </w:r>
      <w:r w:rsidRPr="00807FFC">
        <w:rPr>
          <w:sz w:val="28"/>
          <w:szCs w:val="28"/>
        </w:rPr>
        <w:t>quest’età,</w:t>
      </w:r>
      <w:r w:rsidR="008D5A56">
        <w:rPr>
          <w:sz w:val="28"/>
          <w:szCs w:val="28"/>
        </w:rPr>
        <w:t xml:space="preserve"> </w:t>
      </w:r>
      <w:r w:rsidRPr="00807FFC">
        <w:rPr>
          <w:sz w:val="28"/>
          <w:szCs w:val="28"/>
        </w:rPr>
        <w:t xml:space="preserve">al  mutamento   dei caratteri   </w:t>
      </w:r>
      <w:proofErr w:type="spellStart"/>
      <w:r w:rsidR="00A3291F">
        <w:rPr>
          <w:sz w:val="28"/>
          <w:szCs w:val="28"/>
        </w:rPr>
        <w:t>scrittorii</w:t>
      </w:r>
      <w:proofErr w:type="spellEnd"/>
      <w:r w:rsidRPr="00807FFC">
        <w:rPr>
          <w:sz w:val="28"/>
          <w:szCs w:val="28"/>
        </w:rPr>
        <w:t xml:space="preserve">, col  passaggio  dalla  scrittura capitale dell’età classica al primo minuscolo o </w:t>
      </w:r>
      <w:proofErr w:type="spellStart"/>
      <w:r w:rsidRPr="00807FFC">
        <w:rPr>
          <w:i/>
          <w:sz w:val="28"/>
          <w:szCs w:val="28"/>
        </w:rPr>
        <w:t>Halbunziale</w:t>
      </w:r>
      <w:proofErr w:type="spellEnd"/>
      <w:r w:rsidRPr="00807FFC">
        <w:rPr>
          <w:sz w:val="28"/>
          <w:szCs w:val="28"/>
        </w:rPr>
        <w:t>,  si accompagnava  l’ascesa di nuove classi sociali al potere dopo la drammatica crisi del III sec.</w:t>
      </w:r>
      <w:r w:rsidR="00F865CC">
        <w:rPr>
          <w:sz w:val="28"/>
          <w:szCs w:val="28"/>
        </w:rPr>
        <w:t xml:space="preserve"> </w:t>
      </w:r>
      <w:r w:rsidRPr="00807FFC">
        <w:rPr>
          <w:sz w:val="28"/>
          <w:szCs w:val="28"/>
        </w:rPr>
        <w:t xml:space="preserve">d.C.  E’ probabile allora che  il formato   librario   del   codice,   che   era  apparso  a  Roma contemporaneamente  all’avvento  del  cristianesimo,  in  quanto libro di </w:t>
      </w:r>
      <w:proofErr w:type="spellStart"/>
      <w:r w:rsidRPr="00807FFC">
        <w:rPr>
          <w:sz w:val="28"/>
          <w:szCs w:val="28"/>
        </w:rPr>
        <w:t>letturatura</w:t>
      </w:r>
      <w:proofErr w:type="spellEnd"/>
      <w:r w:rsidRPr="00807FFC">
        <w:rPr>
          <w:sz w:val="28"/>
          <w:szCs w:val="28"/>
        </w:rPr>
        <w:t xml:space="preserve"> popolare e tecnica, sia prevalso in seguito ad  una spinta dal basso di nuovi ceti e categorie,  immessi nel mondo della parola scritta, del diritto, del pot</w:t>
      </w:r>
      <w:r w:rsidR="00275E33">
        <w:rPr>
          <w:sz w:val="28"/>
          <w:szCs w:val="28"/>
        </w:rPr>
        <w:t>ere. Il rotolo, simbolo dell’arte</w:t>
      </w:r>
      <w:r w:rsidRPr="00807FFC">
        <w:rPr>
          <w:sz w:val="28"/>
          <w:szCs w:val="28"/>
        </w:rPr>
        <w:t xml:space="preserve"> letteraria riservata  ai  ceti  superiori, appariva  ormai  superato  dai codici dei burocrati </w:t>
      </w:r>
      <w:proofErr w:type="spellStart"/>
      <w:r w:rsidRPr="00807FFC">
        <w:rPr>
          <w:sz w:val="28"/>
          <w:szCs w:val="28"/>
        </w:rPr>
        <w:t>dioclezianeo</w:t>
      </w:r>
      <w:proofErr w:type="spellEnd"/>
      <w:r w:rsidRPr="00807FFC">
        <w:rPr>
          <w:sz w:val="28"/>
          <w:szCs w:val="28"/>
        </w:rPr>
        <w:t xml:space="preserve"> costantiniani,  che esprimevano e diffondevano, attraverso libri di tale formato,  unitamente al retaggio della nuova  religione, le  loro  ansie  di  maggiore  preparazione  professionale  e di progresso</w:t>
      </w:r>
      <w:r w:rsidRPr="00807FFC">
        <w:rPr>
          <w:rStyle w:val="Rimandonotaapidipagina"/>
          <w:sz w:val="28"/>
          <w:szCs w:val="28"/>
        </w:rPr>
        <w:footnoteReference w:id="21"/>
      </w:r>
      <w:r w:rsidRPr="00807FFC">
        <w:rPr>
          <w:sz w:val="28"/>
          <w:szCs w:val="28"/>
        </w:rPr>
        <w:t xml:space="preserve">.  </w:t>
      </w:r>
    </w:p>
    <w:p w:rsidR="00807FFC" w:rsidRPr="00807FFC" w:rsidRDefault="00807FFC" w:rsidP="00A12492">
      <w:pPr>
        <w:pStyle w:val="Indirizzomittentebreve"/>
        <w:spacing w:line="240" w:lineRule="atLeast"/>
        <w:ind w:right="567" w:firstLine="425"/>
        <w:rPr>
          <w:sz w:val="28"/>
          <w:szCs w:val="28"/>
        </w:rPr>
      </w:pPr>
      <w:r w:rsidRPr="00807FFC">
        <w:rPr>
          <w:sz w:val="28"/>
          <w:szCs w:val="28"/>
        </w:rPr>
        <w:t xml:space="preserve">Alcuni studiosi hanno ipotizzato che l’adozione in  ambiente cristiano  del  codice  abbia  tratto  origine dalla stesura del Vangelo di Marco nella forma libraria tipica delle  classi  meno agiate  e  che  la  perdita di qualche linea conclusiva,  che si constata nella versione pervenutaci,  difficilmente  si  sarebbe </w:t>
      </w:r>
      <w:r w:rsidR="00717A34">
        <w:rPr>
          <w:sz w:val="28"/>
          <w:szCs w:val="28"/>
        </w:rPr>
        <w:t xml:space="preserve">potuta </w:t>
      </w:r>
      <w:r w:rsidRPr="00807FFC">
        <w:rPr>
          <w:sz w:val="28"/>
          <w:szCs w:val="28"/>
        </w:rPr>
        <w:t>verifica</w:t>
      </w:r>
      <w:r w:rsidR="00717A34">
        <w:rPr>
          <w:sz w:val="28"/>
          <w:szCs w:val="28"/>
        </w:rPr>
        <w:t xml:space="preserve">re </w:t>
      </w:r>
      <w:r w:rsidRPr="00807FFC">
        <w:rPr>
          <w:sz w:val="28"/>
          <w:szCs w:val="28"/>
        </w:rPr>
        <w:t>all’interno</w:t>
      </w:r>
      <w:r w:rsidR="00717A34">
        <w:rPr>
          <w:sz w:val="28"/>
          <w:szCs w:val="28"/>
        </w:rPr>
        <w:t xml:space="preserve"> </w:t>
      </w:r>
      <w:r w:rsidRPr="00807FFC">
        <w:rPr>
          <w:sz w:val="28"/>
          <w:szCs w:val="28"/>
        </w:rPr>
        <w:t xml:space="preserve">di un </w:t>
      </w:r>
      <w:proofErr w:type="spellStart"/>
      <w:r w:rsidRPr="00807FFC">
        <w:rPr>
          <w:i/>
          <w:sz w:val="28"/>
          <w:szCs w:val="28"/>
        </w:rPr>
        <w:t>volumen</w:t>
      </w:r>
      <w:proofErr w:type="spellEnd"/>
      <w:r w:rsidRPr="00807FFC">
        <w:rPr>
          <w:rStyle w:val="Rimandonotaapidipagina"/>
          <w:sz w:val="28"/>
          <w:szCs w:val="28"/>
        </w:rPr>
        <w:footnoteReference w:id="22"/>
      </w:r>
      <w:r w:rsidR="00717A34">
        <w:rPr>
          <w:sz w:val="28"/>
          <w:szCs w:val="28"/>
        </w:rPr>
        <w:t xml:space="preserve">. Comunque sia, non v’è dubbio </w:t>
      </w:r>
      <w:r w:rsidRPr="00807FFC">
        <w:rPr>
          <w:sz w:val="28"/>
          <w:szCs w:val="28"/>
        </w:rPr>
        <w:t>che alla necessità del ricorso ai testi  fondamentali si accompagnava l’aspirazione da parte  dell’ordine  legislativo ad  una solenni</w:t>
      </w:r>
      <w:r w:rsidR="00717A34">
        <w:rPr>
          <w:sz w:val="28"/>
          <w:szCs w:val="28"/>
        </w:rPr>
        <w:t xml:space="preserve">tà sacrale: il cristianesimo, </w:t>
      </w:r>
      <w:r w:rsidRPr="00807FFC">
        <w:rPr>
          <w:sz w:val="28"/>
          <w:szCs w:val="28"/>
        </w:rPr>
        <w:t>avvalendosi di un antico e radicato rispetto per  l’autorità  del  Libro,  infatti aveva  introdotto  l’idea  dell’accettazione  totale delle Sacre Scritture che erano scritte  in  forma  di  codice.  “L’uso  del codice si legava così ad una reverenza per i testi scritti,  che si accompagnava alla necessità di imporre l’os</w:t>
      </w:r>
      <w:r w:rsidR="00717A34">
        <w:rPr>
          <w:sz w:val="28"/>
          <w:szCs w:val="28"/>
        </w:rPr>
        <w:t xml:space="preserve">servanza  assoluta del loro </w:t>
      </w:r>
      <w:r w:rsidRPr="00807FFC">
        <w:rPr>
          <w:sz w:val="28"/>
          <w:szCs w:val="28"/>
        </w:rPr>
        <w:t>conte</w:t>
      </w:r>
      <w:r w:rsidR="00717A34">
        <w:rPr>
          <w:sz w:val="28"/>
          <w:szCs w:val="28"/>
        </w:rPr>
        <w:t xml:space="preserve">nuto; e tale reverenza,  nel  caso </w:t>
      </w:r>
      <w:r w:rsidRPr="00807FFC">
        <w:rPr>
          <w:sz w:val="28"/>
          <w:szCs w:val="28"/>
        </w:rPr>
        <w:t>delle costituzioni imperiali,  giungeva al limite con  gli  imperatori cristiani  che parlavano proprio in nome di Dio.  Il codice era, così,  depositario al te</w:t>
      </w:r>
      <w:r w:rsidR="00717A34">
        <w:rPr>
          <w:sz w:val="28"/>
          <w:szCs w:val="28"/>
        </w:rPr>
        <w:t>mpo stesso della legge divina e</w:t>
      </w:r>
      <w:r w:rsidRPr="00807FFC">
        <w:rPr>
          <w:sz w:val="28"/>
          <w:szCs w:val="28"/>
        </w:rPr>
        <w:t xml:space="preserve"> umana”</w:t>
      </w:r>
      <w:r w:rsidRPr="00807FFC">
        <w:rPr>
          <w:rStyle w:val="Rimandonotaapidipagina"/>
          <w:sz w:val="28"/>
          <w:szCs w:val="28"/>
        </w:rPr>
        <w:footnoteReference w:id="23"/>
      </w:r>
      <w:r w:rsidR="00717A34">
        <w:rPr>
          <w:sz w:val="28"/>
          <w:szCs w:val="28"/>
        </w:rPr>
        <w:t>. I</w:t>
      </w:r>
      <w:r w:rsidRPr="00807FFC">
        <w:rPr>
          <w:sz w:val="28"/>
          <w:szCs w:val="28"/>
        </w:rPr>
        <w:t xml:space="preserve"> due poli </w:t>
      </w:r>
      <w:r w:rsidR="00DC67AA">
        <w:rPr>
          <w:sz w:val="28"/>
          <w:szCs w:val="28"/>
        </w:rPr>
        <w:t xml:space="preserve">  </w:t>
      </w:r>
      <w:r w:rsidR="00717A34">
        <w:rPr>
          <w:sz w:val="28"/>
          <w:szCs w:val="28"/>
        </w:rPr>
        <w:t xml:space="preserve">della civiltà medioevale, </w:t>
      </w:r>
      <w:r w:rsidR="00B938DF">
        <w:rPr>
          <w:sz w:val="28"/>
          <w:szCs w:val="28"/>
        </w:rPr>
        <w:t>Chiesa e</w:t>
      </w:r>
      <w:r w:rsidRPr="00807FFC">
        <w:rPr>
          <w:sz w:val="28"/>
          <w:szCs w:val="28"/>
        </w:rPr>
        <w:t xml:space="preserve"> Impero, trovavano nei codici  delle  Sacre  Scritture  e  </w:t>
      </w:r>
      <w:r w:rsidR="00717A34">
        <w:rPr>
          <w:sz w:val="28"/>
          <w:szCs w:val="28"/>
        </w:rPr>
        <w:t>n</w:t>
      </w:r>
      <w:r w:rsidRPr="00807FFC">
        <w:rPr>
          <w:sz w:val="28"/>
          <w:szCs w:val="28"/>
        </w:rPr>
        <w:t>el</w:t>
      </w:r>
      <w:r w:rsidR="00717A34">
        <w:rPr>
          <w:sz w:val="28"/>
          <w:szCs w:val="28"/>
        </w:rPr>
        <w:t>le raccolte di</w:t>
      </w:r>
      <w:r w:rsidRPr="00807FFC">
        <w:rPr>
          <w:sz w:val="28"/>
          <w:szCs w:val="28"/>
        </w:rPr>
        <w:t xml:space="preserve"> diritto  i fondamenti della vita sociale</w:t>
      </w:r>
      <w:r w:rsidRPr="00807FFC">
        <w:rPr>
          <w:rStyle w:val="Rimandonotaapidipagina"/>
          <w:sz w:val="28"/>
          <w:szCs w:val="28"/>
        </w:rPr>
        <w:footnoteReference w:id="24"/>
      </w:r>
      <w:r w:rsidRPr="00807FFC">
        <w:rPr>
          <w:sz w:val="28"/>
          <w:szCs w:val="28"/>
        </w:rPr>
        <w:t xml:space="preserve">.  </w:t>
      </w:r>
    </w:p>
    <w:p w:rsidR="00807FFC" w:rsidRPr="00807FFC" w:rsidRDefault="00807FFC" w:rsidP="00A12492">
      <w:pPr>
        <w:pStyle w:val="Testonormale"/>
        <w:spacing w:line="240" w:lineRule="atLeast"/>
        <w:ind w:right="567" w:firstLine="426"/>
        <w:rPr>
          <w:rFonts w:ascii="Times New Roman" w:hAnsi="Times New Roman"/>
          <w:sz w:val="28"/>
          <w:szCs w:val="28"/>
        </w:rPr>
      </w:pPr>
      <w:r w:rsidRPr="00807FFC">
        <w:rPr>
          <w:rFonts w:ascii="Times New Roman" w:hAnsi="Times New Roman"/>
          <w:sz w:val="28"/>
          <w:szCs w:val="28"/>
        </w:rPr>
        <w:t xml:space="preserve"> All’inizio  dunque  i  testi  giuridici,  come  altri  testi tecnici,  utilizzavano  nella  prassi  quotidiana,   forense  ed amministrativa  la  forma  del </w:t>
      </w:r>
      <w:proofErr w:type="spellStart"/>
      <w:r w:rsidRPr="00807FFC">
        <w:rPr>
          <w:rFonts w:ascii="Times New Roman" w:hAnsi="Times New Roman"/>
          <w:i/>
          <w:sz w:val="28"/>
          <w:szCs w:val="28"/>
        </w:rPr>
        <w:t>codex</w:t>
      </w:r>
      <w:proofErr w:type="spellEnd"/>
      <w:r w:rsidRPr="00807FFC">
        <w:rPr>
          <w:rFonts w:ascii="Times New Roman" w:hAnsi="Times New Roman"/>
          <w:sz w:val="28"/>
          <w:szCs w:val="28"/>
        </w:rPr>
        <w:t xml:space="preserve">,  </w:t>
      </w:r>
      <w:r w:rsidR="00B938DF">
        <w:rPr>
          <w:rFonts w:ascii="Times New Roman" w:hAnsi="Times New Roman"/>
          <w:sz w:val="28"/>
          <w:szCs w:val="28"/>
        </w:rPr>
        <w:t xml:space="preserve">ma non le opere della giurisprudenza che utilizzava il rotolo, </w:t>
      </w:r>
      <w:r w:rsidRPr="00807FFC">
        <w:rPr>
          <w:rFonts w:ascii="Times New Roman" w:hAnsi="Times New Roman"/>
          <w:sz w:val="28"/>
          <w:szCs w:val="28"/>
        </w:rPr>
        <w:t>“</w:t>
      </w:r>
      <w:proofErr w:type="spellStart"/>
      <w:r w:rsidRPr="00807FFC">
        <w:rPr>
          <w:rFonts w:ascii="Times New Roman" w:hAnsi="Times New Roman"/>
          <w:sz w:val="28"/>
          <w:szCs w:val="28"/>
        </w:rPr>
        <w:t>sicchè‚</w:t>
      </w:r>
      <w:proofErr w:type="spellEnd"/>
      <w:r w:rsidRPr="00807FFC">
        <w:rPr>
          <w:rFonts w:ascii="Times New Roman" w:hAnsi="Times New Roman"/>
          <w:sz w:val="28"/>
          <w:szCs w:val="28"/>
        </w:rPr>
        <w:t xml:space="preserve"> il passaggio alla nuova tipologia </w:t>
      </w:r>
      <w:r w:rsidRPr="00807FFC">
        <w:rPr>
          <w:rFonts w:ascii="Times New Roman" w:hAnsi="Times New Roman"/>
          <w:sz w:val="28"/>
          <w:szCs w:val="28"/>
        </w:rPr>
        <w:lastRenderedPageBreak/>
        <w:t xml:space="preserve">libraria non dovette essere  né  sistematico  né programmatico  ma  piuttosto  affidato  alle  necessità pratiche nell’esercizio del diritto, </w:t>
      </w:r>
      <w:r w:rsidR="00C84B7B" w:rsidRPr="00807FFC">
        <w:rPr>
          <w:rFonts w:ascii="Times New Roman" w:hAnsi="Times New Roman"/>
          <w:sz w:val="28"/>
          <w:szCs w:val="28"/>
        </w:rPr>
        <w:t>giacch</w:t>
      </w:r>
      <w:r w:rsidR="00C84B7B">
        <w:rPr>
          <w:rFonts w:ascii="Times New Roman" w:hAnsi="Times New Roman"/>
          <w:sz w:val="28"/>
          <w:szCs w:val="28"/>
        </w:rPr>
        <w:t>é</w:t>
      </w:r>
      <w:r w:rsidRPr="00807FFC">
        <w:rPr>
          <w:rFonts w:ascii="Times New Roman" w:hAnsi="Times New Roman"/>
          <w:sz w:val="28"/>
          <w:szCs w:val="28"/>
        </w:rPr>
        <w:t xml:space="preserve"> il codice si prestava meglio per opere che dovevano  essere  correntemente  citate.  In  ogni caso la struttura piuttosto rozza nei primi codici giuridici non lascia  dubbio sull’uso privato,  professionale,  che di essi si faceva.  Soltanto più tardi la nuova forma  libraria  si  impose ufficialmente  ed  in  conseguenza  del  mutare della concezione stessa del diritto”</w:t>
      </w:r>
      <w:r w:rsidRPr="00807FFC">
        <w:rPr>
          <w:rStyle w:val="Rimandonotaapidipagina"/>
          <w:rFonts w:ascii="Times New Roman" w:hAnsi="Times New Roman"/>
          <w:sz w:val="28"/>
          <w:szCs w:val="28"/>
        </w:rPr>
        <w:footnoteReference w:id="25"/>
      </w:r>
      <w:r w:rsidRPr="00807FFC">
        <w:rPr>
          <w:rFonts w:ascii="Times New Roman" w:hAnsi="Times New Roman"/>
          <w:sz w:val="28"/>
          <w:szCs w:val="28"/>
        </w:rPr>
        <w:t>. Dalla concezione giurisprudenziale del diritto dell’età classica,  nella quale predominava  il  rotolo, predisposto  per  una  cultura  sostanzialmente ancora basata su tecniche orali ed affidata a  non  numerosi  esperti,  si  passò gradualmente  ad  un mondo retto dalla parola scritta in codici, simbolo dell’interpretazione autoritaria dei testi</w:t>
      </w:r>
      <w:r w:rsidR="00414B3A">
        <w:rPr>
          <w:rFonts w:ascii="Times New Roman" w:hAnsi="Times New Roman"/>
          <w:sz w:val="28"/>
          <w:szCs w:val="28"/>
        </w:rPr>
        <w:t>, consegnata alla generale divulgazione</w:t>
      </w:r>
      <w:r w:rsidRPr="00807FFC">
        <w:rPr>
          <w:rFonts w:ascii="Times New Roman" w:hAnsi="Times New Roman"/>
          <w:sz w:val="28"/>
          <w:szCs w:val="28"/>
        </w:rPr>
        <w:t xml:space="preserve">.  </w:t>
      </w:r>
    </w:p>
    <w:p w:rsidR="00807FFC" w:rsidRPr="00807FFC" w:rsidRDefault="008B111C" w:rsidP="00A12492">
      <w:pPr>
        <w:pStyle w:val="Indirizzomittentebreve"/>
        <w:spacing w:line="240" w:lineRule="atLeast"/>
        <w:ind w:right="567" w:firstLine="426"/>
        <w:rPr>
          <w:sz w:val="28"/>
          <w:szCs w:val="28"/>
        </w:rPr>
      </w:pPr>
      <w:r>
        <w:rPr>
          <w:sz w:val="28"/>
          <w:szCs w:val="28"/>
        </w:rPr>
        <w:t>A partire dal 250</w:t>
      </w:r>
      <w:r w:rsidR="00807FFC" w:rsidRPr="00807FFC">
        <w:rPr>
          <w:sz w:val="28"/>
          <w:szCs w:val="28"/>
        </w:rPr>
        <w:t xml:space="preserve">-300 d.C. la trasformazione dal rotolo al codice impose  dunque  </w:t>
      </w:r>
      <w:r w:rsidR="00414B3A">
        <w:rPr>
          <w:sz w:val="28"/>
          <w:szCs w:val="28"/>
        </w:rPr>
        <w:t>la trascrizione di</w:t>
      </w:r>
      <w:r w:rsidR="00807FFC" w:rsidRPr="00807FFC">
        <w:rPr>
          <w:sz w:val="28"/>
          <w:szCs w:val="28"/>
        </w:rPr>
        <w:t xml:space="preserve">  tutti  i  testi  giuridici classici  nella  nuova  forma  libraria  ed  è possibile allora, secondo </w:t>
      </w:r>
      <w:proofErr w:type="spellStart"/>
      <w:r w:rsidR="00807FFC" w:rsidRPr="00807FFC">
        <w:rPr>
          <w:sz w:val="28"/>
          <w:szCs w:val="28"/>
        </w:rPr>
        <w:t>Wieacker</w:t>
      </w:r>
      <w:proofErr w:type="spellEnd"/>
      <w:r w:rsidR="00807FFC" w:rsidRPr="00807FFC">
        <w:rPr>
          <w:sz w:val="28"/>
          <w:szCs w:val="28"/>
        </w:rPr>
        <w:t xml:space="preserve">,  che  parte  delle  alterazioni  riscontrabili negli  esemplari  d’età  </w:t>
      </w:r>
      <w:proofErr w:type="spellStart"/>
      <w:r w:rsidR="00807FFC" w:rsidRPr="00807FFC">
        <w:rPr>
          <w:sz w:val="28"/>
          <w:szCs w:val="28"/>
        </w:rPr>
        <w:t>pregiustinianea</w:t>
      </w:r>
      <w:proofErr w:type="spellEnd"/>
      <w:r w:rsidR="00807FFC" w:rsidRPr="00807FFC">
        <w:rPr>
          <w:sz w:val="28"/>
          <w:szCs w:val="28"/>
        </w:rPr>
        <w:t xml:space="preserve">  e giustinianea abbiano tratto origine proprio da tale attività</w:t>
      </w:r>
      <w:r w:rsidR="00807FFC" w:rsidRPr="00807FFC">
        <w:rPr>
          <w:rStyle w:val="Rimandonotaapidipagina"/>
          <w:sz w:val="28"/>
          <w:szCs w:val="28"/>
        </w:rPr>
        <w:footnoteReference w:id="26"/>
      </w:r>
      <w:r w:rsidR="00807FFC" w:rsidRPr="00807FFC">
        <w:rPr>
          <w:sz w:val="28"/>
          <w:szCs w:val="28"/>
        </w:rPr>
        <w:t xml:space="preserve">.  Anche se  </w:t>
      </w:r>
      <w:r>
        <w:rPr>
          <w:sz w:val="28"/>
          <w:szCs w:val="28"/>
        </w:rPr>
        <w:t xml:space="preserve">nell’oasi di </w:t>
      </w:r>
      <w:proofErr w:type="spellStart"/>
      <w:r>
        <w:rPr>
          <w:sz w:val="28"/>
          <w:szCs w:val="28"/>
        </w:rPr>
        <w:t>Dakhla</w:t>
      </w:r>
      <w:proofErr w:type="spellEnd"/>
      <w:r w:rsidRPr="00807FFC">
        <w:rPr>
          <w:sz w:val="28"/>
          <w:szCs w:val="28"/>
        </w:rPr>
        <w:t xml:space="preserve"> </w:t>
      </w:r>
      <w:r w:rsidR="00807FFC" w:rsidRPr="00807FFC">
        <w:rPr>
          <w:sz w:val="28"/>
          <w:szCs w:val="28"/>
        </w:rPr>
        <w:t xml:space="preserve">intorno   al   360  d.C.   si  utilizzavano </w:t>
      </w:r>
      <w:r w:rsidR="00414B3A">
        <w:rPr>
          <w:sz w:val="28"/>
          <w:szCs w:val="28"/>
        </w:rPr>
        <w:t>ancora</w:t>
      </w:r>
      <w:r w:rsidR="00807FFC" w:rsidRPr="00807FFC">
        <w:rPr>
          <w:sz w:val="28"/>
          <w:szCs w:val="28"/>
        </w:rPr>
        <w:t xml:space="preserve"> codici  lignei  per </w:t>
      </w:r>
      <w:r w:rsidRPr="00807FFC">
        <w:rPr>
          <w:sz w:val="28"/>
          <w:szCs w:val="28"/>
        </w:rPr>
        <w:t>registrare</w:t>
      </w:r>
      <w:r w:rsidR="00807FFC" w:rsidRPr="00807FFC">
        <w:rPr>
          <w:sz w:val="28"/>
          <w:szCs w:val="28"/>
        </w:rPr>
        <w:t xml:space="preserve"> non solo i conti di una fattoria</w:t>
      </w:r>
      <w:r>
        <w:rPr>
          <w:sz w:val="28"/>
          <w:szCs w:val="28"/>
        </w:rPr>
        <w:t>,</w:t>
      </w:r>
      <w:r w:rsidR="00807FFC" w:rsidRPr="00807FFC">
        <w:rPr>
          <w:sz w:val="28"/>
          <w:szCs w:val="28"/>
        </w:rPr>
        <w:t xml:space="preserve"> ma anche  un  testo impegnativo come un’orazione di </w:t>
      </w:r>
      <w:proofErr w:type="spellStart"/>
      <w:r w:rsidR="00807FFC" w:rsidRPr="00807FFC">
        <w:rPr>
          <w:sz w:val="28"/>
          <w:szCs w:val="28"/>
        </w:rPr>
        <w:t>Isocrate</w:t>
      </w:r>
      <w:proofErr w:type="spellEnd"/>
      <w:r w:rsidR="00807FFC" w:rsidRPr="00807FFC">
        <w:rPr>
          <w:rStyle w:val="Rimandonotaapidipagina"/>
          <w:sz w:val="28"/>
          <w:szCs w:val="28"/>
        </w:rPr>
        <w:footnoteReference w:id="27"/>
      </w:r>
      <w:r w:rsidR="00807FFC" w:rsidRPr="00807FFC">
        <w:rPr>
          <w:sz w:val="28"/>
          <w:szCs w:val="28"/>
        </w:rPr>
        <w:t xml:space="preserve">,  indubbiamente il nuovo </w:t>
      </w:r>
      <w:r>
        <w:rPr>
          <w:sz w:val="28"/>
          <w:szCs w:val="28"/>
        </w:rPr>
        <w:t>formato</w:t>
      </w:r>
      <w:r w:rsidR="00807FFC" w:rsidRPr="00807FFC">
        <w:rPr>
          <w:sz w:val="28"/>
          <w:szCs w:val="28"/>
        </w:rPr>
        <w:t xml:space="preserve"> libr</w:t>
      </w:r>
      <w:r>
        <w:rPr>
          <w:sz w:val="28"/>
          <w:szCs w:val="28"/>
        </w:rPr>
        <w:t>ari</w:t>
      </w:r>
      <w:r w:rsidR="00807FFC" w:rsidRPr="00807FFC">
        <w:rPr>
          <w:sz w:val="28"/>
          <w:szCs w:val="28"/>
        </w:rPr>
        <w:t xml:space="preserve">o  era  destinato  a  prevalere,  anche  in conseguenza   di una  </w:t>
      </w:r>
      <w:r w:rsidR="00414B3A" w:rsidRPr="00807FFC">
        <w:rPr>
          <w:sz w:val="28"/>
          <w:szCs w:val="28"/>
        </w:rPr>
        <w:t xml:space="preserve">sistematica </w:t>
      </w:r>
      <w:r w:rsidR="00807FFC" w:rsidRPr="00807FFC">
        <w:rPr>
          <w:sz w:val="28"/>
          <w:szCs w:val="28"/>
        </w:rPr>
        <w:t xml:space="preserve">attività </w:t>
      </w:r>
      <w:r>
        <w:rPr>
          <w:sz w:val="28"/>
          <w:szCs w:val="28"/>
        </w:rPr>
        <w:t>di trascrizione</w:t>
      </w:r>
      <w:r w:rsidR="00807FFC" w:rsidRPr="00807FFC">
        <w:rPr>
          <w:sz w:val="28"/>
          <w:szCs w:val="28"/>
        </w:rPr>
        <w:t xml:space="preserve">.  Tracce di un lavoro programmatico  sono  state  intraviste   nell’ordine   impartito intorno   al   357   dall’imperatore   Costanzo   II   a  scribi professionisti di trasferire in nuova veste i libri degli autori antichi deteriorati dal tempo.  Anche l’imperatore  Valente, nel 372, ordinava  che quattro </w:t>
      </w:r>
      <w:proofErr w:type="spellStart"/>
      <w:r w:rsidR="00807FFC" w:rsidRPr="00807FFC">
        <w:rPr>
          <w:i/>
          <w:sz w:val="28"/>
          <w:szCs w:val="28"/>
        </w:rPr>
        <w:t>antiquarii</w:t>
      </w:r>
      <w:proofErr w:type="spellEnd"/>
      <w:r w:rsidR="00807FFC" w:rsidRPr="00807FFC">
        <w:rPr>
          <w:sz w:val="28"/>
          <w:szCs w:val="28"/>
        </w:rPr>
        <w:t xml:space="preserve"> greci e tre latini,  abili calligrafi,  lavorassero </w:t>
      </w:r>
      <w:r w:rsidR="00807FFC" w:rsidRPr="00807FFC">
        <w:rPr>
          <w:i/>
          <w:sz w:val="28"/>
          <w:szCs w:val="28"/>
        </w:rPr>
        <w:t xml:space="preserve">ad </w:t>
      </w:r>
      <w:proofErr w:type="spellStart"/>
      <w:r w:rsidR="00807FFC" w:rsidRPr="00807FFC">
        <w:rPr>
          <w:i/>
          <w:sz w:val="28"/>
          <w:szCs w:val="28"/>
        </w:rPr>
        <w:t>bibliothecae</w:t>
      </w:r>
      <w:proofErr w:type="spellEnd"/>
      <w:r w:rsidR="00807FFC" w:rsidRPr="00807FFC">
        <w:rPr>
          <w:i/>
          <w:sz w:val="28"/>
          <w:szCs w:val="28"/>
        </w:rPr>
        <w:t xml:space="preserve"> </w:t>
      </w:r>
      <w:proofErr w:type="spellStart"/>
      <w:r w:rsidR="00807FFC" w:rsidRPr="00807FFC">
        <w:rPr>
          <w:i/>
          <w:sz w:val="28"/>
          <w:szCs w:val="28"/>
        </w:rPr>
        <w:t>codices</w:t>
      </w:r>
      <w:proofErr w:type="spellEnd"/>
      <w:r w:rsidR="00807FFC" w:rsidRPr="00807FFC">
        <w:rPr>
          <w:i/>
          <w:sz w:val="28"/>
          <w:szCs w:val="28"/>
        </w:rPr>
        <w:t xml:space="preserve"> </w:t>
      </w:r>
      <w:proofErr w:type="spellStart"/>
      <w:r w:rsidR="00807FFC" w:rsidRPr="00807FFC">
        <w:rPr>
          <w:i/>
          <w:sz w:val="28"/>
          <w:szCs w:val="28"/>
        </w:rPr>
        <w:t>componendos</w:t>
      </w:r>
      <w:proofErr w:type="spellEnd"/>
      <w:r w:rsidR="00807FFC" w:rsidRPr="00807FFC">
        <w:rPr>
          <w:i/>
          <w:sz w:val="28"/>
          <w:szCs w:val="28"/>
        </w:rPr>
        <w:t xml:space="preserve"> </w:t>
      </w:r>
      <w:proofErr w:type="spellStart"/>
      <w:r w:rsidR="00807FFC" w:rsidRPr="00807FFC">
        <w:rPr>
          <w:i/>
          <w:sz w:val="28"/>
          <w:szCs w:val="28"/>
        </w:rPr>
        <w:t>vel</w:t>
      </w:r>
      <w:proofErr w:type="spellEnd"/>
      <w:r w:rsidR="00807FFC" w:rsidRPr="00807FFC">
        <w:rPr>
          <w:i/>
          <w:sz w:val="28"/>
          <w:szCs w:val="28"/>
        </w:rPr>
        <w:t xml:space="preserve"> </w:t>
      </w:r>
      <w:proofErr w:type="spellStart"/>
      <w:r w:rsidR="00807FFC" w:rsidRPr="00807FFC">
        <w:rPr>
          <w:i/>
          <w:sz w:val="28"/>
          <w:szCs w:val="28"/>
        </w:rPr>
        <w:t>reparandos</w:t>
      </w:r>
      <w:proofErr w:type="spellEnd"/>
      <w:r w:rsidR="00807FFC" w:rsidRPr="00807FFC">
        <w:rPr>
          <w:rStyle w:val="Rimandonotaapidipagina"/>
          <w:sz w:val="28"/>
          <w:szCs w:val="28"/>
        </w:rPr>
        <w:footnoteReference w:id="28"/>
      </w:r>
      <w:r w:rsidR="00807FFC" w:rsidRPr="00807FFC">
        <w:rPr>
          <w:sz w:val="28"/>
          <w:szCs w:val="28"/>
        </w:rPr>
        <w:t xml:space="preserve">.   E  certamente  assai  interessato  a   tale attività  </w:t>
      </w:r>
      <w:r>
        <w:rPr>
          <w:sz w:val="28"/>
          <w:szCs w:val="28"/>
        </w:rPr>
        <w:t>fu</w:t>
      </w:r>
      <w:r w:rsidR="00807FFC" w:rsidRPr="00807FFC">
        <w:rPr>
          <w:sz w:val="28"/>
          <w:szCs w:val="28"/>
        </w:rPr>
        <w:t xml:space="preserve"> l’imperatore Teodosio II,  non solo ispiratore del primo  codice  ufficiale  di  costituzioni,   ma   anche   abile calligrafo che pare amasse vergare testi sacri in lettere d’oro, disponendo  lo  scritto  a  forma  di croce</w:t>
      </w:r>
      <w:r w:rsidR="00807FFC" w:rsidRPr="00807FFC">
        <w:rPr>
          <w:rStyle w:val="Rimandonotaapidipagina"/>
          <w:sz w:val="28"/>
          <w:szCs w:val="28"/>
        </w:rPr>
        <w:footnoteReference w:id="29"/>
      </w:r>
      <w:r w:rsidR="00807FFC" w:rsidRPr="00807FFC">
        <w:rPr>
          <w:sz w:val="28"/>
          <w:szCs w:val="28"/>
        </w:rPr>
        <w:t xml:space="preserve">.  E proprio in </w:t>
      </w:r>
      <w:r>
        <w:rPr>
          <w:sz w:val="28"/>
          <w:szCs w:val="28"/>
        </w:rPr>
        <w:t>tale</w:t>
      </w:r>
      <w:r w:rsidR="00807FFC" w:rsidRPr="00807FFC">
        <w:rPr>
          <w:sz w:val="28"/>
          <w:szCs w:val="28"/>
        </w:rPr>
        <w:t xml:space="preserve"> età con il codice cristiano d’alta qualità, di lusso,  si pervenne  all’estremo  capovolgimento  della  prima umile prassi cristiana.   Apparve  il  codice  oggetto,  destinato  non  alla lettura,  ma a </w:t>
      </w:r>
      <w:r>
        <w:rPr>
          <w:sz w:val="28"/>
          <w:szCs w:val="28"/>
        </w:rPr>
        <w:t xml:space="preserve">una </w:t>
      </w:r>
      <w:r w:rsidR="00807FFC" w:rsidRPr="00807FFC">
        <w:rPr>
          <w:sz w:val="28"/>
          <w:szCs w:val="28"/>
        </w:rPr>
        <w:t>mera e  ricca  funzione  ornamentale.  Scrive  S.  Gerolamo:   “Si  tinge  la  pergamena  di  colore  purpureo,  si tracciano le lettere con oro  fuso,  si  rivestono  i  libri  di gemme, ma nudo, davanti alle loro porte il Cristo muore”</w:t>
      </w:r>
      <w:r w:rsidR="00807FFC" w:rsidRPr="00807FFC">
        <w:rPr>
          <w:rStyle w:val="Rimandonotaapidipagina"/>
          <w:sz w:val="28"/>
          <w:szCs w:val="28"/>
        </w:rPr>
        <w:footnoteReference w:id="30"/>
      </w:r>
      <w:r w:rsidR="00807FFC" w:rsidRPr="00807FFC">
        <w:rPr>
          <w:sz w:val="28"/>
          <w:szCs w:val="28"/>
        </w:rPr>
        <w:t xml:space="preserve">.  </w:t>
      </w:r>
    </w:p>
    <w:p w:rsidR="00807FFC" w:rsidRPr="00807FFC" w:rsidRDefault="00807FFC" w:rsidP="00A12492">
      <w:pPr>
        <w:pStyle w:val="Indirizzomittentebreve"/>
        <w:spacing w:line="240" w:lineRule="atLeast"/>
        <w:ind w:right="567" w:firstLine="426"/>
        <w:rPr>
          <w:sz w:val="28"/>
          <w:szCs w:val="28"/>
        </w:rPr>
      </w:pPr>
      <w:r w:rsidRPr="00807FFC">
        <w:rPr>
          <w:sz w:val="28"/>
          <w:szCs w:val="28"/>
        </w:rPr>
        <w:t>Nello stesso tempo l’utilizzazione delle  opere  dell’antica</w:t>
      </w:r>
      <w:r w:rsidR="00DC4D89">
        <w:rPr>
          <w:sz w:val="28"/>
          <w:szCs w:val="28"/>
        </w:rPr>
        <w:t xml:space="preserve"> </w:t>
      </w:r>
      <w:r w:rsidRPr="00807FFC">
        <w:rPr>
          <w:sz w:val="28"/>
          <w:szCs w:val="28"/>
        </w:rPr>
        <w:t>giurisprudenza  comportava  la necessità di adattare gli antichi testi alle nuove  esigenze  e  princ</w:t>
      </w:r>
      <w:r w:rsidR="00DC4D89">
        <w:rPr>
          <w:sz w:val="28"/>
          <w:szCs w:val="28"/>
        </w:rPr>
        <w:t>i</w:t>
      </w:r>
      <w:r w:rsidRPr="00807FFC">
        <w:rPr>
          <w:sz w:val="28"/>
          <w:szCs w:val="28"/>
        </w:rPr>
        <w:t xml:space="preserve">pi  dell’età  postclassica, senza mutarne paternità,  titolo ed oggetto,  continuando, cioè, per reverenza ad impiegare le opere dei giuristi  scomparsi,  ma avvertendo anche in modo sempre più vivo la necessità l’esigenza di   sanzionare   ufficialmente   le  forme  testuali  del </w:t>
      </w:r>
      <w:proofErr w:type="spellStart"/>
      <w:r w:rsidRPr="00807FFC">
        <w:rPr>
          <w:i/>
          <w:sz w:val="28"/>
          <w:szCs w:val="28"/>
        </w:rPr>
        <w:t>ius</w:t>
      </w:r>
      <w:proofErr w:type="spellEnd"/>
      <w:r w:rsidRPr="00807FFC">
        <w:rPr>
          <w:sz w:val="28"/>
          <w:szCs w:val="28"/>
        </w:rPr>
        <w:t xml:space="preserve">, respingendo le opere considerate false.  E’ possibile  in  altri termini  che  la trascrizione in </w:t>
      </w:r>
      <w:proofErr w:type="spellStart"/>
      <w:r w:rsidRPr="00807FFC">
        <w:rPr>
          <w:i/>
          <w:sz w:val="28"/>
          <w:szCs w:val="28"/>
        </w:rPr>
        <w:t>codex</w:t>
      </w:r>
      <w:proofErr w:type="spellEnd"/>
      <w:r w:rsidRPr="00807FFC">
        <w:rPr>
          <w:sz w:val="28"/>
          <w:szCs w:val="28"/>
        </w:rPr>
        <w:t xml:space="preserve"> finisse per mettere fuori uso le vecchie copie su rotoli e che agli inizi del IV  sec.  si giungesse  al  graduale  riconoscimento  di  versioni più o meno ufficiali dei testi </w:t>
      </w:r>
      <w:r w:rsidRPr="00807FFC">
        <w:rPr>
          <w:sz w:val="28"/>
          <w:szCs w:val="28"/>
        </w:rPr>
        <w:lastRenderedPageBreak/>
        <w:t xml:space="preserve">normativi.  All’età di Costantino risale  la prima  notizia  sulle autorizzazioni imperiali delle opere degli antichi giuristi:  il divieto dell’uso delle </w:t>
      </w:r>
      <w:proofErr w:type="spellStart"/>
      <w:r w:rsidRPr="00807FFC">
        <w:rPr>
          <w:i/>
          <w:sz w:val="28"/>
          <w:szCs w:val="28"/>
        </w:rPr>
        <w:t>Notae</w:t>
      </w:r>
      <w:proofErr w:type="spellEnd"/>
      <w:r w:rsidRPr="00807FFC">
        <w:rPr>
          <w:sz w:val="28"/>
          <w:szCs w:val="28"/>
        </w:rPr>
        <w:t xml:space="preserve"> di  Paolo  ed </w:t>
      </w:r>
      <w:proofErr w:type="spellStart"/>
      <w:r w:rsidRPr="00807FFC">
        <w:rPr>
          <w:sz w:val="28"/>
          <w:szCs w:val="28"/>
        </w:rPr>
        <w:t>Ulpiano</w:t>
      </w:r>
      <w:proofErr w:type="spellEnd"/>
      <w:r w:rsidRPr="00807FFC">
        <w:rPr>
          <w:sz w:val="28"/>
          <w:szCs w:val="28"/>
        </w:rPr>
        <w:t xml:space="preserve">  a  </w:t>
      </w:r>
      <w:proofErr w:type="spellStart"/>
      <w:r w:rsidRPr="00807FFC">
        <w:rPr>
          <w:sz w:val="28"/>
          <w:szCs w:val="28"/>
        </w:rPr>
        <w:t>Papiniano</w:t>
      </w:r>
      <w:proofErr w:type="spellEnd"/>
      <w:r w:rsidRPr="00807FFC">
        <w:rPr>
          <w:sz w:val="28"/>
          <w:szCs w:val="28"/>
        </w:rPr>
        <w:t xml:space="preserve">  in  quanto  di  dubbia  genuinità  ed  il riconoscimento per </w:t>
      </w:r>
      <w:proofErr w:type="spellStart"/>
      <w:r w:rsidRPr="00807FFC">
        <w:rPr>
          <w:i/>
          <w:sz w:val="28"/>
          <w:szCs w:val="28"/>
        </w:rPr>
        <w:t>universa</w:t>
      </w:r>
      <w:proofErr w:type="spellEnd"/>
      <w:r w:rsidRPr="00807FFC">
        <w:rPr>
          <w:i/>
          <w:sz w:val="28"/>
          <w:szCs w:val="28"/>
        </w:rPr>
        <w:t xml:space="preserve"> </w:t>
      </w:r>
      <w:proofErr w:type="spellStart"/>
      <w:r w:rsidRPr="00807FFC">
        <w:rPr>
          <w:i/>
          <w:sz w:val="28"/>
          <w:szCs w:val="28"/>
        </w:rPr>
        <w:t>quae</w:t>
      </w:r>
      <w:proofErr w:type="spellEnd"/>
      <w:r w:rsidRPr="00807FFC">
        <w:rPr>
          <w:i/>
          <w:sz w:val="28"/>
          <w:szCs w:val="28"/>
        </w:rPr>
        <w:t xml:space="preserve">  </w:t>
      </w:r>
      <w:proofErr w:type="spellStart"/>
      <w:r w:rsidRPr="00807FFC">
        <w:rPr>
          <w:i/>
          <w:sz w:val="28"/>
          <w:szCs w:val="28"/>
        </w:rPr>
        <w:t>scriptura</w:t>
      </w:r>
      <w:proofErr w:type="spellEnd"/>
      <w:r w:rsidRPr="00807FFC">
        <w:rPr>
          <w:i/>
          <w:sz w:val="28"/>
          <w:szCs w:val="28"/>
        </w:rPr>
        <w:t xml:space="preserve">  </w:t>
      </w:r>
      <w:proofErr w:type="spellStart"/>
      <w:r w:rsidRPr="00807FFC">
        <w:rPr>
          <w:i/>
          <w:sz w:val="28"/>
          <w:szCs w:val="28"/>
        </w:rPr>
        <w:t>Pauli</w:t>
      </w:r>
      <w:proofErr w:type="spellEnd"/>
      <w:r w:rsidRPr="00807FFC">
        <w:rPr>
          <w:i/>
          <w:sz w:val="28"/>
          <w:szCs w:val="28"/>
        </w:rPr>
        <w:t xml:space="preserve">  </w:t>
      </w:r>
      <w:proofErr w:type="spellStart"/>
      <w:r w:rsidRPr="00807FFC">
        <w:rPr>
          <w:i/>
          <w:sz w:val="28"/>
          <w:szCs w:val="28"/>
        </w:rPr>
        <w:t>continentur</w:t>
      </w:r>
      <w:proofErr w:type="spellEnd"/>
      <w:r w:rsidRPr="00807FFC">
        <w:rPr>
          <w:sz w:val="28"/>
          <w:szCs w:val="28"/>
        </w:rPr>
        <w:t>, che  in  pratica  consentiva  di utilizzare le Sentenze di Paolo</w:t>
      </w:r>
      <w:r w:rsidR="00414B3A">
        <w:rPr>
          <w:sz w:val="28"/>
          <w:szCs w:val="28"/>
        </w:rPr>
        <w:t>, ritenute affidabili</w:t>
      </w:r>
      <w:r w:rsidRPr="00807FFC">
        <w:rPr>
          <w:rStyle w:val="Rimandonotaapidipagina"/>
          <w:sz w:val="28"/>
          <w:szCs w:val="28"/>
        </w:rPr>
        <w:footnoteReference w:id="31"/>
      </w:r>
      <w:r w:rsidRPr="00807FFC">
        <w:rPr>
          <w:sz w:val="28"/>
          <w:szCs w:val="28"/>
        </w:rPr>
        <w:t>.  L’</w:t>
      </w:r>
      <w:proofErr w:type="spellStart"/>
      <w:r w:rsidRPr="00807FFC">
        <w:rPr>
          <w:i/>
          <w:sz w:val="28"/>
          <w:szCs w:val="28"/>
        </w:rPr>
        <w:t>oratio</w:t>
      </w:r>
      <w:proofErr w:type="spellEnd"/>
      <w:r w:rsidRPr="00807FFC">
        <w:rPr>
          <w:i/>
          <w:sz w:val="28"/>
          <w:szCs w:val="28"/>
        </w:rPr>
        <w:t xml:space="preserve"> </w:t>
      </w:r>
      <w:proofErr w:type="spellStart"/>
      <w:r w:rsidRPr="00807FFC">
        <w:rPr>
          <w:i/>
          <w:sz w:val="28"/>
          <w:szCs w:val="28"/>
        </w:rPr>
        <w:t>Valentiniani</w:t>
      </w:r>
      <w:proofErr w:type="spellEnd"/>
      <w:r w:rsidRPr="00807FFC">
        <w:rPr>
          <w:i/>
          <w:sz w:val="28"/>
          <w:szCs w:val="28"/>
        </w:rPr>
        <w:t xml:space="preserve"> ad </w:t>
      </w:r>
      <w:proofErr w:type="spellStart"/>
      <w:r w:rsidRPr="00807FFC">
        <w:rPr>
          <w:i/>
          <w:sz w:val="28"/>
          <w:szCs w:val="28"/>
        </w:rPr>
        <w:t>senatum</w:t>
      </w:r>
      <w:proofErr w:type="spellEnd"/>
      <w:r w:rsidRPr="00807FFC">
        <w:rPr>
          <w:sz w:val="28"/>
          <w:szCs w:val="28"/>
        </w:rPr>
        <w:t xml:space="preserve"> del  426,  che  </w:t>
      </w:r>
      <w:r w:rsidR="00414B3A">
        <w:rPr>
          <w:sz w:val="28"/>
          <w:szCs w:val="28"/>
        </w:rPr>
        <w:t>per</w:t>
      </w:r>
      <w:r w:rsidRPr="00807FFC">
        <w:rPr>
          <w:sz w:val="28"/>
          <w:szCs w:val="28"/>
        </w:rPr>
        <w:t xml:space="preserve">  una parte  disciplinava  l’impiego  delle  opere  giurisprudenziali, </w:t>
      </w:r>
      <w:r w:rsidR="00414B3A">
        <w:rPr>
          <w:sz w:val="28"/>
          <w:szCs w:val="28"/>
        </w:rPr>
        <w:t xml:space="preserve">prevedendo per la prima volta criteri </w:t>
      </w:r>
      <w:r w:rsidR="00453520">
        <w:rPr>
          <w:sz w:val="28"/>
          <w:szCs w:val="28"/>
        </w:rPr>
        <w:t>automatic</w:t>
      </w:r>
      <w:r w:rsidR="006A681B">
        <w:rPr>
          <w:sz w:val="28"/>
          <w:szCs w:val="28"/>
        </w:rPr>
        <w:t>i per assicurare la certezza del diritto</w:t>
      </w:r>
      <w:r w:rsidR="006A681B">
        <w:rPr>
          <w:rStyle w:val="Rimandonotaapidipagina"/>
          <w:sz w:val="28"/>
          <w:szCs w:val="28"/>
        </w:rPr>
        <w:footnoteReference w:id="32"/>
      </w:r>
      <w:r w:rsidR="006A681B">
        <w:rPr>
          <w:sz w:val="28"/>
          <w:szCs w:val="28"/>
        </w:rPr>
        <w:t xml:space="preserve">, </w:t>
      </w:r>
      <w:r w:rsidR="006A681B" w:rsidRPr="00807FFC">
        <w:rPr>
          <w:sz w:val="28"/>
          <w:szCs w:val="28"/>
        </w:rPr>
        <w:t>ammetteva</w:t>
      </w:r>
      <w:r w:rsidRPr="00807FFC">
        <w:rPr>
          <w:sz w:val="28"/>
          <w:szCs w:val="28"/>
        </w:rPr>
        <w:t xml:space="preserve"> ancora l’esistenza di varie  forme  testuali  degli antichi  originali  di  giuristi  di  età  </w:t>
      </w:r>
      <w:proofErr w:type="spellStart"/>
      <w:r w:rsidRPr="00807FFC">
        <w:rPr>
          <w:sz w:val="28"/>
          <w:szCs w:val="28"/>
        </w:rPr>
        <w:t>severiana</w:t>
      </w:r>
      <w:proofErr w:type="spellEnd"/>
      <w:r w:rsidRPr="00807FFC">
        <w:rPr>
          <w:sz w:val="28"/>
          <w:szCs w:val="28"/>
        </w:rPr>
        <w:t xml:space="preserve"> (</w:t>
      </w:r>
      <w:proofErr w:type="spellStart"/>
      <w:r w:rsidRPr="00807FFC">
        <w:rPr>
          <w:sz w:val="28"/>
          <w:szCs w:val="28"/>
        </w:rPr>
        <w:t>Papiniano</w:t>
      </w:r>
      <w:proofErr w:type="spellEnd"/>
      <w:r w:rsidRPr="00807FFC">
        <w:rPr>
          <w:sz w:val="28"/>
          <w:szCs w:val="28"/>
        </w:rPr>
        <w:t xml:space="preserve">, Paolo,  </w:t>
      </w:r>
      <w:proofErr w:type="spellStart"/>
      <w:r w:rsidRPr="00807FFC">
        <w:rPr>
          <w:sz w:val="28"/>
          <w:szCs w:val="28"/>
        </w:rPr>
        <w:t>Ulpi</w:t>
      </w:r>
      <w:r w:rsidR="008B111C">
        <w:rPr>
          <w:sz w:val="28"/>
          <w:szCs w:val="28"/>
        </w:rPr>
        <w:t>ano</w:t>
      </w:r>
      <w:proofErr w:type="spellEnd"/>
      <w:r w:rsidR="008B111C">
        <w:rPr>
          <w:sz w:val="28"/>
          <w:szCs w:val="28"/>
        </w:rPr>
        <w:t xml:space="preserve">,  </w:t>
      </w:r>
      <w:proofErr w:type="spellStart"/>
      <w:r w:rsidR="008B111C">
        <w:rPr>
          <w:sz w:val="28"/>
          <w:szCs w:val="28"/>
        </w:rPr>
        <w:t>Modestino</w:t>
      </w:r>
      <w:proofErr w:type="spellEnd"/>
      <w:r w:rsidR="008B111C">
        <w:rPr>
          <w:sz w:val="28"/>
          <w:szCs w:val="28"/>
        </w:rPr>
        <w:t>),  oltre  Gaio</w:t>
      </w:r>
      <w:r w:rsidRPr="00807FFC">
        <w:rPr>
          <w:sz w:val="28"/>
          <w:szCs w:val="28"/>
        </w:rPr>
        <w:t xml:space="preserve">, </w:t>
      </w:r>
      <w:r w:rsidR="006A681B">
        <w:rPr>
          <w:sz w:val="28"/>
          <w:szCs w:val="28"/>
        </w:rPr>
        <w:t>consente</w:t>
      </w:r>
      <w:r w:rsidRPr="00807FFC">
        <w:rPr>
          <w:sz w:val="28"/>
          <w:szCs w:val="28"/>
        </w:rPr>
        <w:t xml:space="preserve">ndo  la  </w:t>
      </w:r>
      <w:proofErr w:type="spellStart"/>
      <w:r w:rsidRPr="00807FFC">
        <w:rPr>
          <w:i/>
          <w:sz w:val="28"/>
          <w:szCs w:val="28"/>
        </w:rPr>
        <w:t>collatio</w:t>
      </w:r>
      <w:proofErr w:type="spellEnd"/>
      <w:r w:rsidRPr="00807FFC">
        <w:rPr>
          <w:i/>
          <w:sz w:val="28"/>
          <w:szCs w:val="28"/>
        </w:rPr>
        <w:t xml:space="preserve"> </w:t>
      </w:r>
      <w:proofErr w:type="spellStart"/>
      <w:r w:rsidRPr="00807FFC">
        <w:rPr>
          <w:i/>
          <w:sz w:val="28"/>
          <w:szCs w:val="28"/>
        </w:rPr>
        <w:t>codicum</w:t>
      </w:r>
      <w:proofErr w:type="spellEnd"/>
      <w:r w:rsidRPr="00807FFC">
        <w:rPr>
          <w:sz w:val="28"/>
          <w:szCs w:val="28"/>
        </w:rPr>
        <w:t xml:space="preserve">,  il confronto,  cioè,  in caso d’incertezza,   tra  più  versioni  testuali. Di  più  antichi giuristi,  come  Scevola,  Sabino,  Giuliano  e  Marcello non si prevedeva  che  potessero   </w:t>
      </w:r>
      <w:r w:rsidR="00AF1487">
        <w:rPr>
          <w:sz w:val="28"/>
          <w:szCs w:val="28"/>
        </w:rPr>
        <w:t xml:space="preserve">ormai   ritrovarsi </w:t>
      </w:r>
      <w:r w:rsidR="00453520">
        <w:rPr>
          <w:sz w:val="28"/>
          <w:szCs w:val="28"/>
        </w:rPr>
        <w:t xml:space="preserve">più </w:t>
      </w:r>
      <w:r w:rsidR="00AF1487">
        <w:rPr>
          <w:sz w:val="28"/>
          <w:szCs w:val="28"/>
        </w:rPr>
        <w:t xml:space="preserve">copie </w:t>
      </w:r>
      <w:r w:rsidR="006A681B">
        <w:rPr>
          <w:sz w:val="28"/>
          <w:szCs w:val="28"/>
        </w:rPr>
        <w:t>e</w:t>
      </w:r>
      <w:r w:rsidRPr="00807FFC">
        <w:rPr>
          <w:sz w:val="28"/>
          <w:szCs w:val="28"/>
        </w:rPr>
        <w:t xml:space="preserve"> si disciplinava soltanto la citazione indiretta.  </w:t>
      </w:r>
    </w:p>
    <w:p w:rsidR="00807FFC" w:rsidRPr="00807FFC" w:rsidRDefault="00807FFC" w:rsidP="00A12492">
      <w:pPr>
        <w:pStyle w:val="Rientrocorpodeltesto"/>
        <w:spacing w:after="0" w:line="240" w:lineRule="atLeast"/>
        <w:ind w:left="0" w:right="567" w:firstLine="425"/>
        <w:rPr>
          <w:sz w:val="28"/>
          <w:szCs w:val="28"/>
        </w:rPr>
      </w:pPr>
      <w:r w:rsidRPr="00807FFC">
        <w:rPr>
          <w:sz w:val="28"/>
          <w:szCs w:val="28"/>
        </w:rPr>
        <w:t xml:space="preserve">In  primo  luogo  fu  certamente  trasportata  in  </w:t>
      </w:r>
      <w:proofErr w:type="spellStart"/>
      <w:r w:rsidRPr="00807FFC">
        <w:rPr>
          <w:i/>
          <w:sz w:val="28"/>
          <w:szCs w:val="28"/>
        </w:rPr>
        <w:t>codex</w:t>
      </w:r>
      <w:proofErr w:type="spellEnd"/>
      <w:r w:rsidRPr="00807FFC">
        <w:rPr>
          <w:sz w:val="28"/>
          <w:szCs w:val="28"/>
        </w:rPr>
        <w:t xml:space="preserve">  la letteratura giuridica di uso comune,  come i libri di scuola,  i trattati istituzionali e le più elementari raccolte.  Solo in un secondo momento fu  trascritta  la  letteratura  più  consona  a maestri  di  diritto  e  funzionari,  come  i  vasti  commentari edittali e di diritto civile (</w:t>
      </w:r>
      <w:r w:rsidRPr="00807FFC">
        <w:rPr>
          <w:i/>
          <w:sz w:val="28"/>
          <w:szCs w:val="28"/>
        </w:rPr>
        <w:t xml:space="preserve">libri ad </w:t>
      </w:r>
      <w:proofErr w:type="spellStart"/>
      <w:r w:rsidRPr="00807FFC">
        <w:rPr>
          <w:i/>
          <w:sz w:val="28"/>
          <w:szCs w:val="28"/>
        </w:rPr>
        <w:t>Sabinum</w:t>
      </w:r>
      <w:proofErr w:type="spellEnd"/>
      <w:r w:rsidRPr="00807FFC">
        <w:rPr>
          <w:sz w:val="28"/>
          <w:szCs w:val="28"/>
        </w:rPr>
        <w:t xml:space="preserve">),  che  avrebbero potuto  essere  scissi  ed  utilizzati  anche in parti distinte.  </w:t>
      </w:r>
      <w:r w:rsidR="00F749E8" w:rsidRPr="00807FFC">
        <w:rPr>
          <w:sz w:val="28"/>
          <w:szCs w:val="28"/>
        </w:rPr>
        <w:t>Poiché</w:t>
      </w:r>
      <w:r w:rsidRPr="00807FFC">
        <w:rPr>
          <w:sz w:val="28"/>
          <w:szCs w:val="28"/>
        </w:rPr>
        <w:t xml:space="preserve"> le opere che non venivano ricopiate apparivano  destinate a  scomparire,  si  dovette ben presto giungere ad una selezione degli scritti di maggiore utilità pratica ed  impiego,  che  non sempre  coincideva  con il maggior valore intrinseco.  E dunque, soprattutto nei lavori sopra indicati dei  giuristi  della  c.d.  </w:t>
      </w:r>
      <w:r w:rsidR="00F749E8">
        <w:rPr>
          <w:sz w:val="28"/>
          <w:szCs w:val="28"/>
        </w:rPr>
        <w:t>L</w:t>
      </w:r>
      <w:r w:rsidRPr="00807FFC">
        <w:rPr>
          <w:sz w:val="28"/>
          <w:szCs w:val="28"/>
        </w:rPr>
        <w:t xml:space="preserve">egge delle citazioni,  avrebbero potuto infiltrarsi alterazioni testuali  per  effetto  di  tale  trascrizione.  Si  è notato ad esempio che nel ricopiare un brano del commentario di </w:t>
      </w:r>
      <w:proofErr w:type="spellStart"/>
      <w:r w:rsidRPr="00807FFC">
        <w:rPr>
          <w:sz w:val="28"/>
          <w:szCs w:val="28"/>
        </w:rPr>
        <w:t>Ulpiano</w:t>
      </w:r>
      <w:proofErr w:type="spellEnd"/>
      <w:r w:rsidRPr="00807FFC">
        <w:rPr>
          <w:sz w:val="28"/>
          <w:szCs w:val="28"/>
        </w:rPr>
        <w:t xml:space="preserve"> </w:t>
      </w:r>
      <w:r w:rsidRPr="00807FFC">
        <w:rPr>
          <w:i/>
          <w:sz w:val="28"/>
          <w:szCs w:val="28"/>
        </w:rPr>
        <w:t xml:space="preserve">ad </w:t>
      </w:r>
      <w:proofErr w:type="spellStart"/>
      <w:r w:rsidRPr="00807FFC">
        <w:rPr>
          <w:i/>
          <w:sz w:val="28"/>
          <w:szCs w:val="28"/>
        </w:rPr>
        <w:t>edictum</w:t>
      </w:r>
      <w:proofErr w:type="spellEnd"/>
      <w:r w:rsidRPr="00807FFC">
        <w:rPr>
          <w:sz w:val="28"/>
          <w:szCs w:val="28"/>
        </w:rPr>
        <w:t xml:space="preserve"> tramandato, oltre che nel Digesto di Giustiniano,  anche nella  </w:t>
      </w:r>
      <w:proofErr w:type="spellStart"/>
      <w:r w:rsidRPr="00807FFC">
        <w:rPr>
          <w:i/>
          <w:sz w:val="28"/>
          <w:szCs w:val="28"/>
        </w:rPr>
        <w:t>Mosaicarum</w:t>
      </w:r>
      <w:proofErr w:type="spellEnd"/>
      <w:r w:rsidRPr="00807FFC">
        <w:rPr>
          <w:i/>
          <w:sz w:val="28"/>
          <w:szCs w:val="28"/>
        </w:rPr>
        <w:t xml:space="preserve"> </w:t>
      </w:r>
      <w:proofErr w:type="spellStart"/>
      <w:r w:rsidRPr="00807FFC">
        <w:rPr>
          <w:i/>
          <w:sz w:val="28"/>
          <w:szCs w:val="28"/>
        </w:rPr>
        <w:t>et</w:t>
      </w:r>
      <w:proofErr w:type="spellEnd"/>
      <w:r w:rsidRPr="00807FFC">
        <w:rPr>
          <w:i/>
          <w:sz w:val="28"/>
          <w:szCs w:val="28"/>
        </w:rPr>
        <w:t xml:space="preserve"> </w:t>
      </w:r>
      <w:proofErr w:type="spellStart"/>
      <w:r w:rsidRPr="00807FFC">
        <w:rPr>
          <w:i/>
          <w:sz w:val="28"/>
          <w:szCs w:val="28"/>
        </w:rPr>
        <w:t>romanarum</w:t>
      </w:r>
      <w:proofErr w:type="spellEnd"/>
      <w:r w:rsidRPr="00807FFC">
        <w:rPr>
          <w:i/>
          <w:sz w:val="28"/>
          <w:szCs w:val="28"/>
        </w:rPr>
        <w:t xml:space="preserve"> </w:t>
      </w:r>
      <w:proofErr w:type="spellStart"/>
      <w:r w:rsidRPr="00807FFC">
        <w:rPr>
          <w:i/>
          <w:sz w:val="28"/>
          <w:szCs w:val="28"/>
        </w:rPr>
        <w:t>legum</w:t>
      </w:r>
      <w:proofErr w:type="spellEnd"/>
      <w:r w:rsidRPr="00807FFC">
        <w:rPr>
          <w:i/>
          <w:sz w:val="28"/>
          <w:szCs w:val="28"/>
        </w:rPr>
        <w:t xml:space="preserve"> </w:t>
      </w:r>
      <w:proofErr w:type="spellStart"/>
      <w:r w:rsidRPr="00807FFC">
        <w:rPr>
          <w:i/>
          <w:sz w:val="28"/>
          <w:szCs w:val="28"/>
        </w:rPr>
        <w:t>collatio</w:t>
      </w:r>
      <w:proofErr w:type="spellEnd"/>
      <w:r w:rsidRPr="00807FFC">
        <w:rPr>
          <w:sz w:val="28"/>
          <w:szCs w:val="28"/>
        </w:rPr>
        <w:t>,  il copista aveva saltato almeno due righi per mera svista e questo errore si  era perpetuato sino ai compilatori per circa duecento anni</w:t>
      </w:r>
      <w:r w:rsidRPr="00807FFC">
        <w:rPr>
          <w:rStyle w:val="Rimandonotaapidipagina"/>
          <w:sz w:val="28"/>
          <w:szCs w:val="28"/>
        </w:rPr>
        <w:footnoteReference w:id="33"/>
      </w:r>
      <w:r w:rsidRPr="00807FFC">
        <w:rPr>
          <w:sz w:val="28"/>
          <w:szCs w:val="28"/>
        </w:rPr>
        <w:t xml:space="preserve">.  </w:t>
      </w:r>
    </w:p>
    <w:p w:rsidR="00807FFC" w:rsidRPr="00807FFC" w:rsidRDefault="00807FFC" w:rsidP="00A12492">
      <w:pPr>
        <w:pStyle w:val="Rientrocorpodeltesto"/>
        <w:spacing w:after="0" w:line="240" w:lineRule="atLeast"/>
        <w:ind w:left="0" w:right="567" w:firstLine="425"/>
        <w:rPr>
          <w:sz w:val="28"/>
          <w:szCs w:val="28"/>
        </w:rPr>
      </w:pPr>
      <w:r w:rsidRPr="00807FFC">
        <w:rPr>
          <w:sz w:val="28"/>
          <w:szCs w:val="28"/>
        </w:rPr>
        <w:t xml:space="preserve">Con il </w:t>
      </w:r>
      <w:proofErr w:type="spellStart"/>
      <w:r w:rsidRPr="00807FFC">
        <w:rPr>
          <w:i/>
          <w:sz w:val="28"/>
          <w:szCs w:val="28"/>
        </w:rPr>
        <w:t>codex</w:t>
      </w:r>
      <w:proofErr w:type="spellEnd"/>
      <w:r w:rsidRPr="00807FFC">
        <w:rPr>
          <w:sz w:val="28"/>
          <w:szCs w:val="28"/>
        </w:rPr>
        <w:t xml:space="preserve"> poi faceva la sua prima apparizione  una  nuova unità libraria,  alla quale avrebbe potuto non corrispondere più l’unità dell’opera trascritta.  E’ possibile infatti  che  nelle più recenti edizioni in codice l’editore andasse alla ricerca di una  nuova  unità  interna dell’opera,  da far coincidere con la forma esteriore del </w:t>
      </w:r>
      <w:proofErr w:type="spellStart"/>
      <w:r w:rsidRPr="00807FFC">
        <w:rPr>
          <w:i/>
          <w:sz w:val="28"/>
          <w:szCs w:val="28"/>
        </w:rPr>
        <w:t>codex</w:t>
      </w:r>
      <w:proofErr w:type="spellEnd"/>
      <w:r w:rsidRPr="00807FFC">
        <w:rPr>
          <w:sz w:val="28"/>
          <w:szCs w:val="28"/>
        </w:rPr>
        <w:t>.  Si poneva dunque il  problema  delle edizioni  complete</w:t>
      </w:r>
      <w:r w:rsidR="00AF1487">
        <w:rPr>
          <w:sz w:val="28"/>
          <w:szCs w:val="28"/>
        </w:rPr>
        <w:t xml:space="preserve">  e  delle  edizioni parziali. </w:t>
      </w:r>
      <w:r w:rsidRPr="00807FFC">
        <w:rPr>
          <w:sz w:val="28"/>
          <w:szCs w:val="28"/>
        </w:rPr>
        <w:t xml:space="preserve">In conseguenza della  trascrizione,  opere classiche in diversi rotoli poterono essere riunite in un solo </w:t>
      </w:r>
      <w:proofErr w:type="spellStart"/>
      <w:r w:rsidRPr="00807FFC">
        <w:rPr>
          <w:i/>
          <w:sz w:val="28"/>
          <w:szCs w:val="28"/>
        </w:rPr>
        <w:t>codex</w:t>
      </w:r>
      <w:proofErr w:type="spellEnd"/>
      <w:r w:rsidRPr="00807FFC">
        <w:rPr>
          <w:sz w:val="28"/>
          <w:szCs w:val="28"/>
        </w:rPr>
        <w:t xml:space="preserve"> o,  al  contrario,  opere  molto ampie,   come  i  commentari  tardo  classici,  poterono  essere scomposte  in  parti  che  circolavano  con una autonomia.  Si è not</w:t>
      </w:r>
      <w:r w:rsidR="00AF1487">
        <w:rPr>
          <w:sz w:val="28"/>
          <w:szCs w:val="28"/>
        </w:rPr>
        <w:t>ato che a partire dal IV secolo</w:t>
      </w:r>
      <w:r w:rsidRPr="00807FFC">
        <w:rPr>
          <w:sz w:val="28"/>
          <w:szCs w:val="28"/>
        </w:rPr>
        <w:t xml:space="preserve"> il termine </w:t>
      </w:r>
      <w:r w:rsidRPr="00807FFC">
        <w:rPr>
          <w:i/>
          <w:sz w:val="28"/>
          <w:szCs w:val="28"/>
        </w:rPr>
        <w:t>corpus</w:t>
      </w:r>
      <w:r w:rsidRPr="00807FFC">
        <w:rPr>
          <w:sz w:val="28"/>
          <w:szCs w:val="28"/>
        </w:rPr>
        <w:t xml:space="preserve">, impiegato in precedenza per denotare una unità ideale di libri o  di  scritti di  un  determinato  autore compresi in una pluralità di rotoli, finì per indicare l’unità fisica degli scritti  raccolti  in  un solo ponderoso </w:t>
      </w:r>
      <w:proofErr w:type="spellStart"/>
      <w:r w:rsidRPr="00807FFC">
        <w:rPr>
          <w:i/>
          <w:sz w:val="28"/>
          <w:szCs w:val="28"/>
        </w:rPr>
        <w:t>codex</w:t>
      </w:r>
      <w:proofErr w:type="spellEnd"/>
      <w:r w:rsidRPr="00807FFC">
        <w:rPr>
          <w:sz w:val="28"/>
          <w:szCs w:val="28"/>
        </w:rPr>
        <w:t xml:space="preserve">.  </w:t>
      </w:r>
    </w:p>
    <w:p w:rsidR="00807FFC" w:rsidRPr="00807FFC" w:rsidRDefault="00807FFC" w:rsidP="00A12492">
      <w:pPr>
        <w:pStyle w:val="Indirizzomittentebreve"/>
        <w:spacing w:line="240" w:lineRule="atLeast"/>
        <w:ind w:right="567" w:firstLine="426"/>
        <w:rPr>
          <w:sz w:val="28"/>
          <w:szCs w:val="28"/>
        </w:rPr>
      </w:pPr>
      <w:r w:rsidRPr="00807FFC">
        <w:rPr>
          <w:sz w:val="28"/>
          <w:szCs w:val="28"/>
        </w:rPr>
        <w:t xml:space="preserve">Pare  che  all’insegnamento  della  materia  edittale in due diversi corsi nelle scuole bizantine  corrispondessero  edizioni parziali in codice dei </w:t>
      </w:r>
      <w:r w:rsidRPr="00807FFC">
        <w:rPr>
          <w:i/>
          <w:sz w:val="28"/>
          <w:szCs w:val="28"/>
        </w:rPr>
        <w:t xml:space="preserve">libri ad </w:t>
      </w:r>
      <w:proofErr w:type="spellStart"/>
      <w:r w:rsidRPr="00807FFC">
        <w:rPr>
          <w:i/>
          <w:sz w:val="28"/>
          <w:szCs w:val="28"/>
        </w:rPr>
        <w:t>edictum</w:t>
      </w:r>
      <w:proofErr w:type="spellEnd"/>
      <w:r w:rsidRPr="00807FFC">
        <w:rPr>
          <w:sz w:val="28"/>
          <w:szCs w:val="28"/>
        </w:rPr>
        <w:t xml:space="preserve">.  Si è notato ad esempio che il </w:t>
      </w:r>
      <w:r w:rsidRPr="00807FFC">
        <w:rPr>
          <w:i/>
          <w:sz w:val="28"/>
          <w:szCs w:val="28"/>
        </w:rPr>
        <w:t xml:space="preserve">Vat.  </w:t>
      </w:r>
      <w:proofErr w:type="spellStart"/>
      <w:r w:rsidRPr="00807FFC">
        <w:rPr>
          <w:i/>
          <w:sz w:val="28"/>
          <w:szCs w:val="28"/>
        </w:rPr>
        <w:t>Frag</w:t>
      </w:r>
      <w:proofErr w:type="spellEnd"/>
      <w:r w:rsidRPr="00807FFC">
        <w:rPr>
          <w:i/>
          <w:sz w:val="28"/>
          <w:szCs w:val="28"/>
        </w:rPr>
        <w:t>.</w:t>
      </w:r>
      <w:r w:rsidRPr="00807FFC">
        <w:rPr>
          <w:sz w:val="28"/>
          <w:szCs w:val="28"/>
        </w:rPr>
        <w:t xml:space="preserve"> 266, che reca l’</w:t>
      </w:r>
      <w:proofErr w:type="spellStart"/>
      <w:r w:rsidRPr="00807FFC">
        <w:rPr>
          <w:i/>
          <w:sz w:val="28"/>
          <w:szCs w:val="28"/>
        </w:rPr>
        <w:t>inscriptio</w:t>
      </w:r>
      <w:proofErr w:type="spellEnd"/>
      <w:r w:rsidRPr="00807FFC">
        <w:rPr>
          <w:sz w:val="28"/>
          <w:szCs w:val="28"/>
        </w:rPr>
        <w:t xml:space="preserve">:  </w:t>
      </w:r>
      <w:proofErr w:type="spellStart"/>
      <w:r w:rsidRPr="00807FFC">
        <w:rPr>
          <w:sz w:val="28"/>
          <w:szCs w:val="28"/>
        </w:rPr>
        <w:t>Ulp</w:t>
      </w:r>
      <w:proofErr w:type="spellEnd"/>
      <w:r w:rsidRPr="00807FFC">
        <w:rPr>
          <w:sz w:val="28"/>
          <w:szCs w:val="28"/>
        </w:rPr>
        <w:t xml:space="preserve">.  </w:t>
      </w:r>
      <w:proofErr w:type="spellStart"/>
      <w:r w:rsidRPr="00807FFC">
        <w:rPr>
          <w:sz w:val="28"/>
          <w:szCs w:val="28"/>
        </w:rPr>
        <w:t>lib</w:t>
      </w:r>
      <w:proofErr w:type="spellEnd"/>
      <w:r w:rsidRPr="00807FFC">
        <w:rPr>
          <w:sz w:val="28"/>
          <w:szCs w:val="28"/>
        </w:rPr>
        <w:t xml:space="preserve">.  I de </w:t>
      </w:r>
      <w:r w:rsidRPr="00807FFC">
        <w:rPr>
          <w:i/>
          <w:sz w:val="28"/>
          <w:szCs w:val="28"/>
        </w:rPr>
        <w:t xml:space="preserve">rebus </w:t>
      </w:r>
      <w:proofErr w:type="spellStart"/>
      <w:r w:rsidRPr="00807FFC">
        <w:rPr>
          <w:i/>
          <w:sz w:val="28"/>
          <w:szCs w:val="28"/>
        </w:rPr>
        <w:t>creditis</w:t>
      </w:r>
      <w:proofErr w:type="spellEnd"/>
      <w:r w:rsidRPr="00807FFC">
        <w:rPr>
          <w:sz w:val="28"/>
          <w:szCs w:val="28"/>
        </w:rPr>
        <w:t xml:space="preserve">,  potrebbe dimostrare che già agli inizi  del  IV sec. la parte </w:t>
      </w:r>
      <w:r w:rsidRPr="00807FFC">
        <w:rPr>
          <w:i/>
          <w:sz w:val="28"/>
          <w:szCs w:val="28"/>
        </w:rPr>
        <w:t xml:space="preserve">de rebus </w:t>
      </w:r>
      <w:proofErr w:type="spellStart"/>
      <w:r w:rsidRPr="00807FFC">
        <w:rPr>
          <w:i/>
          <w:sz w:val="28"/>
          <w:szCs w:val="28"/>
        </w:rPr>
        <w:t>creditis</w:t>
      </w:r>
      <w:proofErr w:type="spellEnd"/>
      <w:r w:rsidRPr="00807FFC">
        <w:rPr>
          <w:sz w:val="28"/>
          <w:szCs w:val="28"/>
        </w:rPr>
        <w:t xml:space="preserve"> del commentario edittale (</w:t>
      </w:r>
      <w:proofErr w:type="spellStart"/>
      <w:r w:rsidRPr="00807FFC">
        <w:rPr>
          <w:sz w:val="28"/>
          <w:szCs w:val="28"/>
        </w:rPr>
        <w:t>ll</w:t>
      </w:r>
      <w:proofErr w:type="spellEnd"/>
      <w:r w:rsidRPr="00807FFC">
        <w:rPr>
          <w:sz w:val="28"/>
          <w:szCs w:val="28"/>
        </w:rPr>
        <w:t>. 26</w:t>
      </w:r>
      <w:r w:rsidR="00F749E8">
        <w:rPr>
          <w:sz w:val="28"/>
          <w:szCs w:val="28"/>
        </w:rPr>
        <w:t>-</w:t>
      </w:r>
      <w:r w:rsidRPr="00807FFC">
        <w:rPr>
          <w:sz w:val="28"/>
          <w:szCs w:val="28"/>
        </w:rPr>
        <w:t xml:space="preserve">32)  era già dotata di una sua autonomia.  Sembra che anche i </w:t>
      </w:r>
      <w:r w:rsidRPr="00807FFC">
        <w:rPr>
          <w:sz w:val="28"/>
          <w:szCs w:val="28"/>
        </w:rPr>
        <w:lastRenderedPageBreak/>
        <w:t xml:space="preserve">quattro </w:t>
      </w:r>
      <w:r w:rsidRPr="00807FFC">
        <w:rPr>
          <w:i/>
          <w:sz w:val="28"/>
          <w:szCs w:val="28"/>
        </w:rPr>
        <w:t xml:space="preserve">libri </w:t>
      </w:r>
      <w:proofErr w:type="spellStart"/>
      <w:r w:rsidRPr="00807FFC">
        <w:rPr>
          <w:i/>
          <w:sz w:val="28"/>
          <w:szCs w:val="28"/>
        </w:rPr>
        <w:t>singulares</w:t>
      </w:r>
      <w:proofErr w:type="spellEnd"/>
      <w:r w:rsidRPr="00807FFC">
        <w:rPr>
          <w:sz w:val="28"/>
          <w:szCs w:val="28"/>
        </w:rPr>
        <w:t xml:space="preserve">,  utilizzati nel primo  anno  di  studi giuridici  secondo  la  costituzione  </w:t>
      </w:r>
      <w:proofErr w:type="spellStart"/>
      <w:r w:rsidRPr="00807FFC">
        <w:rPr>
          <w:i/>
          <w:sz w:val="28"/>
          <w:szCs w:val="28"/>
        </w:rPr>
        <w:t>Omnem</w:t>
      </w:r>
      <w:proofErr w:type="spellEnd"/>
      <w:r w:rsidRPr="00807FFC">
        <w:rPr>
          <w:sz w:val="28"/>
          <w:szCs w:val="28"/>
        </w:rPr>
        <w:t xml:space="preserve">,   fossero  edizioni parziali dell’ampio commentario di  </w:t>
      </w:r>
      <w:proofErr w:type="spellStart"/>
      <w:r w:rsidRPr="00807FFC">
        <w:rPr>
          <w:sz w:val="28"/>
          <w:szCs w:val="28"/>
        </w:rPr>
        <w:t>Ulpiano</w:t>
      </w:r>
      <w:proofErr w:type="spellEnd"/>
      <w:r w:rsidRPr="00807FFC">
        <w:rPr>
          <w:sz w:val="28"/>
          <w:szCs w:val="28"/>
        </w:rPr>
        <w:t xml:space="preserve">  </w:t>
      </w:r>
      <w:r w:rsidRPr="00807FFC">
        <w:rPr>
          <w:i/>
          <w:sz w:val="28"/>
          <w:szCs w:val="28"/>
        </w:rPr>
        <w:t xml:space="preserve">ad  </w:t>
      </w:r>
      <w:proofErr w:type="spellStart"/>
      <w:r w:rsidRPr="00807FFC">
        <w:rPr>
          <w:i/>
          <w:sz w:val="28"/>
          <w:szCs w:val="28"/>
        </w:rPr>
        <w:t>Sabinum</w:t>
      </w:r>
      <w:proofErr w:type="spellEnd"/>
      <w:r w:rsidRPr="00807FFC">
        <w:rPr>
          <w:sz w:val="28"/>
          <w:szCs w:val="28"/>
        </w:rPr>
        <w:t xml:space="preserve">.  Negli </w:t>
      </w:r>
      <w:proofErr w:type="spellStart"/>
      <w:r w:rsidRPr="00807FFC">
        <w:rPr>
          <w:i/>
          <w:sz w:val="28"/>
          <w:szCs w:val="28"/>
        </w:rPr>
        <w:t>Scholia</w:t>
      </w:r>
      <w:proofErr w:type="spellEnd"/>
      <w:r w:rsidRPr="00807FFC">
        <w:rPr>
          <w:i/>
          <w:sz w:val="28"/>
          <w:szCs w:val="28"/>
        </w:rPr>
        <w:t xml:space="preserve">  sinaitica</w:t>
      </w:r>
      <w:r w:rsidRPr="00807FFC">
        <w:rPr>
          <w:sz w:val="28"/>
          <w:szCs w:val="28"/>
        </w:rPr>
        <w:t xml:space="preserve"> è  indicato  un  </w:t>
      </w:r>
      <w:proofErr w:type="spellStart"/>
      <w:r w:rsidRPr="00807FFC">
        <w:rPr>
          <w:i/>
          <w:sz w:val="28"/>
          <w:szCs w:val="28"/>
        </w:rPr>
        <w:t>liber</w:t>
      </w:r>
      <w:proofErr w:type="spellEnd"/>
      <w:r w:rsidRPr="00807FFC">
        <w:rPr>
          <w:i/>
          <w:sz w:val="28"/>
          <w:szCs w:val="28"/>
        </w:rPr>
        <w:t xml:space="preserve">  </w:t>
      </w:r>
      <w:proofErr w:type="spellStart"/>
      <w:r w:rsidRPr="00807FFC">
        <w:rPr>
          <w:i/>
          <w:sz w:val="28"/>
          <w:szCs w:val="28"/>
        </w:rPr>
        <w:t>primus</w:t>
      </w:r>
      <w:proofErr w:type="spellEnd"/>
      <w:r w:rsidRPr="00807FFC">
        <w:rPr>
          <w:i/>
          <w:sz w:val="28"/>
          <w:szCs w:val="28"/>
        </w:rPr>
        <w:t xml:space="preserve"> de </w:t>
      </w:r>
      <w:proofErr w:type="spellStart"/>
      <w:r w:rsidRPr="00807FFC">
        <w:rPr>
          <w:i/>
          <w:sz w:val="28"/>
          <w:szCs w:val="28"/>
        </w:rPr>
        <w:t>tutelis</w:t>
      </w:r>
      <w:proofErr w:type="spellEnd"/>
      <w:r w:rsidRPr="00807FFC">
        <w:rPr>
          <w:sz w:val="28"/>
          <w:szCs w:val="28"/>
        </w:rPr>
        <w:t xml:space="preserve"> di </w:t>
      </w:r>
      <w:proofErr w:type="spellStart"/>
      <w:r w:rsidRPr="00807FFC">
        <w:rPr>
          <w:sz w:val="28"/>
          <w:szCs w:val="28"/>
        </w:rPr>
        <w:t>Ulpiano</w:t>
      </w:r>
      <w:proofErr w:type="spellEnd"/>
      <w:r w:rsidRPr="00807FFC">
        <w:rPr>
          <w:sz w:val="28"/>
          <w:szCs w:val="28"/>
        </w:rPr>
        <w:t>,   evidentemente  parte  del   suo   vasto   commentario civilistico.  Il  problema  più delicato consiste comunque n</w:t>
      </w:r>
      <w:r w:rsidR="00F749E8">
        <w:rPr>
          <w:sz w:val="28"/>
          <w:szCs w:val="28"/>
        </w:rPr>
        <w:t xml:space="preserve">ella datazione </w:t>
      </w:r>
      <w:r w:rsidRPr="00807FFC">
        <w:rPr>
          <w:sz w:val="28"/>
          <w:szCs w:val="28"/>
        </w:rPr>
        <w:t>degli  interventi  su  accennati,   in  quanto   essi potrebbero  essere stati assai precoci ed in og</w:t>
      </w:r>
      <w:r w:rsidR="00F749E8">
        <w:rPr>
          <w:sz w:val="28"/>
          <w:szCs w:val="28"/>
        </w:rPr>
        <w:t xml:space="preserve">ni caso protratti nel  tempo, </w:t>
      </w:r>
      <w:r w:rsidRPr="00807FFC">
        <w:rPr>
          <w:sz w:val="28"/>
          <w:szCs w:val="28"/>
        </w:rPr>
        <w:t>non  a</w:t>
      </w:r>
      <w:r w:rsidR="00F749E8">
        <w:rPr>
          <w:sz w:val="28"/>
          <w:szCs w:val="28"/>
        </w:rPr>
        <w:t xml:space="preserve">rrestandosi  al  tempo  delle </w:t>
      </w:r>
      <w:r w:rsidRPr="00807FFC">
        <w:rPr>
          <w:sz w:val="28"/>
          <w:szCs w:val="28"/>
        </w:rPr>
        <w:t xml:space="preserve">disposizioni costantiniane, come ritiene </w:t>
      </w:r>
      <w:proofErr w:type="spellStart"/>
      <w:r w:rsidRPr="00807FFC">
        <w:rPr>
          <w:sz w:val="28"/>
          <w:szCs w:val="28"/>
        </w:rPr>
        <w:t>Wieacker</w:t>
      </w:r>
      <w:proofErr w:type="spellEnd"/>
      <w:r w:rsidRPr="00807FFC">
        <w:rPr>
          <w:sz w:val="28"/>
          <w:szCs w:val="28"/>
        </w:rPr>
        <w:t xml:space="preserve">, ma estendendosi nel V, per concludersi nel </w:t>
      </w:r>
      <w:proofErr w:type="spellStart"/>
      <w:r w:rsidRPr="00807FFC">
        <w:rPr>
          <w:sz w:val="28"/>
          <w:szCs w:val="28"/>
        </w:rPr>
        <w:t>VI</w:t>
      </w:r>
      <w:proofErr w:type="spellEnd"/>
      <w:r w:rsidRPr="00807FFC">
        <w:rPr>
          <w:sz w:val="28"/>
          <w:szCs w:val="28"/>
        </w:rPr>
        <w:t xml:space="preserve"> sec d.C.</w:t>
      </w:r>
      <w:r w:rsidRPr="00807FFC">
        <w:rPr>
          <w:rStyle w:val="Rimandonotaapidipagina"/>
          <w:sz w:val="28"/>
          <w:szCs w:val="28"/>
        </w:rPr>
        <w:footnoteReference w:id="34"/>
      </w:r>
      <w:r w:rsidRPr="00807FFC">
        <w:rPr>
          <w:sz w:val="28"/>
          <w:szCs w:val="28"/>
        </w:rPr>
        <w:t xml:space="preserve">.  Se comunque è innegabile la circolazione  di  edizioni  parziali  in  codice,  è altrettanto probabile che nelle migliori biblioteche  venissero  pur  sempre conservate  edizioni  complete e che a queste ultime soprattutto facessero ricorso i commissari giustinianei  nel  momento  della compilazione.  </w:t>
      </w:r>
    </w:p>
    <w:p w:rsidR="00807FFC" w:rsidRDefault="00807FFC" w:rsidP="00A12492">
      <w:pPr>
        <w:spacing w:after="0" w:line="240" w:lineRule="atLeast"/>
        <w:ind w:right="567"/>
        <w:rPr>
          <w:rFonts w:ascii="Times New Roman" w:hAnsi="Times New Roman"/>
          <w:sz w:val="28"/>
          <w:szCs w:val="28"/>
        </w:rPr>
      </w:pPr>
      <w:r w:rsidRPr="00807FFC">
        <w:rPr>
          <w:rFonts w:ascii="Times New Roman" w:hAnsi="Times New Roman"/>
          <w:sz w:val="28"/>
          <w:szCs w:val="28"/>
        </w:rPr>
        <w:t xml:space="preserve">Come ci informa </w:t>
      </w:r>
      <w:proofErr w:type="spellStart"/>
      <w:r w:rsidRPr="00807FFC">
        <w:rPr>
          <w:rFonts w:ascii="Times New Roman" w:hAnsi="Times New Roman"/>
          <w:sz w:val="28"/>
          <w:szCs w:val="28"/>
        </w:rPr>
        <w:t>Libanio</w:t>
      </w:r>
      <w:proofErr w:type="spellEnd"/>
      <w:r w:rsidRPr="00807FFC">
        <w:rPr>
          <w:rFonts w:ascii="Times New Roman" w:hAnsi="Times New Roman"/>
          <w:sz w:val="28"/>
          <w:szCs w:val="28"/>
        </w:rPr>
        <w:t xml:space="preserve">, gli studenti delle scuole orientali della  fine del IV e inizi del V utilizzavano ormai </w:t>
      </w:r>
      <w:proofErr w:type="spellStart"/>
      <w:r w:rsidRPr="00807FFC">
        <w:rPr>
          <w:rFonts w:ascii="Times New Roman" w:hAnsi="Times New Roman"/>
          <w:i/>
          <w:sz w:val="28"/>
          <w:szCs w:val="28"/>
        </w:rPr>
        <w:t>codices</w:t>
      </w:r>
      <w:proofErr w:type="spellEnd"/>
      <w:r w:rsidRPr="00807FFC">
        <w:rPr>
          <w:rFonts w:ascii="Times New Roman" w:hAnsi="Times New Roman"/>
          <w:sz w:val="28"/>
          <w:szCs w:val="28"/>
        </w:rPr>
        <w:t xml:space="preserve"> che, oltre ad essere idonei ad ostentare la presunta sapienza,  erano suscettibili  di essere impiegati,  per la loro non indifferente mole,  come formidabile arma  d’assalto  nelle  non  infrequenti risse studentesche, le quali giunsero, nel caso della rivolta di </w:t>
      </w:r>
      <w:proofErr w:type="spellStart"/>
      <w:r w:rsidRPr="00807FFC">
        <w:rPr>
          <w:rFonts w:ascii="Times New Roman" w:hAnsi="Times New Roman"/>
          <w:i/>
          <w:sz w:val="28"/>
          <w:szCs w:val="28"/>
        </w:rPr>
        <w:t>Nika</w:t>
      </w:r>
      <w:proofErr w:type="spellEnd"/>
      <w:r w:rsidRPr="00807FFC">
        <w:rPr>
          <w:rFonts w:ascii="Times New Roman" w:hAnsi="Times New Roman"/>
          <w:sz w:val="28"/>
          <w:szCs w:val="28"/>
        </w:rPr>
        <w:t xml:space="preserve">, al tempo di Giustiniano, persino </w:t>
      </w:r>
      <w:r w:rsidR="00F749E8">
        <w:rPr>
          <w:rFonts w:ascii="Times New Roman" w:hAnsi="Times New Roman"/>
          <w:sz w:val="28"/>
          <w:szCs w:val="28"/>
        </w:rPr>
        <w:t xml:space="preserve">ad interrompere, anche se solo </w:t>
      </w:r>
      <w:r w:rsidRPr="00807FFC">
        <w:rPr>
          <w:rFonts w:ascii="Times New Roman" w:hAnsi="Times New Roman"/>
          <w:sz w:val="28"/>
          <w:szCs w:val="28"/>
        </w:rPr>
        <w:t>per qualche tempo,  l’attività di altri studiosi applicati sui medesimi codici in una  paziente  opera  di  raccolta  delle opere dell’antica giurisprudenza, nella stesura cioè del Digesto</w:t>
      </w:r>
      <w:r w:rsidRPr="00807FFC">
        <w:rPr>
          <w:rStyle w:val="Rimandonotaapidipagina"/>
          <w:rFonts w:ascii="Times New Roman" w:hAnsi="Times New Roman"/>
          <w:sz w:val="28"/>
          <w:szCs w:val="28"/>
        </w:rPr>
        <w:footnoteReference w:id="35"/>
      </w:r>
      <w:r w:rsidRPr="00807FFC">
        <w:rPr>
          <w:rFonts w:ascii="Times New Roman" w:hAnsi="Times New Roman"/>
          <w:sz w:val="28"/>
          <w:szCs w:val="28"/>
        </w:rPr>
        <w:t>.</w:t>
      </w:r>
    </w:p>
    <w:p w:rsidR="00A84031" w:rsidRDefault="00A84031" w:rsidP="00A12492">
      <w:pPr>
        <w:spacing w:after="0" w:line="240" w:lineRule="atLeast"/>
        <w:ind w:right="567"/>
        <w:rPr>
          <w:rFonts w:ascii="Times New Roman" w:hAnsi="Times New Roman"/>
          <w:sz w:val="28"/>
          <w:szCs w:val="28"/>
        </w:rPr>
      </w:pPr>
    </w:p>
    <w:p w:rsidR="00A84031" w:rsidRPr="00A84031" w:rsidRDefault="00A84031" w:rsidP="00A84031">
      <w:pPr>
        <w:pStyle w:val="Paragrafoelenco"/>
        <w:numPr>
          <w:ilvl w:val="0"/>
          <w:numId w:val="1"/>
        </w:numPr>
        <w:spacing w:after="0" w:line="240" w:lineRule="atLeast"/>
        <w:ind w:right="567"/>
        <w:rPr>
          <w:rFonts w:ascii="Times New Roman" w:hAnsi="Times New Roman"/>
          <w:sz w:val="28"/>
          <w:szCs w:val="28"/>
        </w:rPr>
      </w:pPr>
      <w:r>
        <w:rPr>
          <w:rFonts w:ascii="Times New Roman" w:hAnsi="Times New Roman"/>
          <w:sz w:val="28"/>
          <w:szCs w:val="28"/>
        </w:rPr>
        <w:t>I ‘proto codici’.</w:t>
      </w:r>
    </w:p>
    <w:p w:rsidR="00A84031" w:rsidRDefault="00A84031" w:rsidP="00A12492">
      <w:pPr>
        <w:pStyle w:val="Rientrocorpodeltesto"/>
        <w:spacing w:after="0" w:line="240" w:lineRule="atLeast"/>
        <w:ind w:left="0" w:right="567" w:firstLine="425"/>
        <w:rPr>
          <w:sz w:val="28"/>
          <w:szCs w:val="28"/>
        </w:rPr>
      </w:pPr>
    </w:p>
    <w:p w:rsidR="00AF1487" w:rsidRDefault="00860309" w:rsidP="00A12492">
      <w:pPr>
        <w:pStyle w:val="Rientrocorpodeltesto"/>
        <w:spacing w:after="0" w:line="240" w:lineRule="atLeast"/>
        <w:ind w:left="0" w:right="567" w:firstLine="425"/>
        <w:rPr>
          <w:sz w:val="28"/>
          <w:szCs w:val="28"/>
        </w:rPr>
      </w:pPr>
      <w:r>
        <w:rPr>
          <w:sz w:val="28"/>
          <w:szCs w:val="28"/>
        </w:rPr>
        <w:t>L'affermazione del codice s</w:t>
      </w:r>
      <w:r w:rsidR="00DC4D89" w:rsidRPr="00DC4D89">
        <w:rPr>
          <w:sz w:val="28"/>
          <w:szCs w:val="28"/>
        </w:rPr>
        <w:t xml:space="preserve">ul finire dell’età classica </w:t>
      </w:r>
      <w:r>
        <w:rPr>
          <w:sz w:val="28"/>
          <w:szCs w:val="28"/>
        </w:rPr>
        <w:t>fu preceduto</w:t>
      </w:r>
      <w:r w:rsidR="00DC4D89" w:rsidRPr="00DC4D89">
        <w:rPr>
          <w:sz w:val="28"/>
          <w:szCs w:val="28"/>
        </w:rPr>
        <w:t xml:space="preserve">  da  raccolte pratiche di disposizioni e</w:t>
      </w:r>
      <w:r>
        <w:rPr>
          <w:sz w:val="28"/>
          <w:szCs w:val="28"/>
        </w:rPr>
        <w:t xml:space="preserve"> </w:t>
      </w:r>
      <w:r w:rsidR="00DC4D89" w:rsidRPr="00DC4D89">
        <w:rPr>
          <w:sz w:val="28"/>
          <w:szCs w:val="28"/>
        </w:rPr>
        <w:t>d</w:t>
      </w:r>
      <w:r>
        <w:rPr>
          <w:sz w:val="28"/>
          <w:szCs w:val="28"/>
        </w:rPr>
        <w:t>i</w:t>
      </w:r>
      <w:r w:rsidR="00DC4D89" w:rsidRPr="00DC4D89">
        <w:rPr>
          <w:sz w:val="28"/>
          <w:szCs w:val="28"/>
        </w:rPr>
        <w:t xml:space="preserve"> atti giudiziari di operatori del diritto, che avevano quella veste </w:t>
      </w:r>
      <w:r w:rsidR="00AF1487" w:rsidRPr="00DC4D89">
        <w:rPr>
          <w:sz w:val="28"/>
          <w:szCs w:val="28"/>
        </w:rPr>
        <w:t>perché</w:t>
      </w:r>
      <w:r w:rsidR="00DC4D89" w:rsidRPr="00DC4D89">
        <w:rPr>
          <w:sz w:val="28"/>
          <w:szCs w:val="28"/>
        </w:rPr>
        <w:t>, come si è già detto</w:t>
      </w:r>
      <w:r w:rsidR="00AF1487">
        <w:rPr>
          <w:sz w:val="28"/>
          <w:szCs w:val="28"/>
        </w:rPr>
        <w:t>,</w:t>
      </w:r>
      <w:r w:rsidR="00DC4D89" w:rsidRPr="00DC4D89">
        <w:rPr>
          <w:sz w:val="28"/>
          <w:szCs w:val="28"/>
        </w:rPr>
        <w:t xml:space="preserve"> erano di più facile consultazione  e</w:t>
      </w:r>
      <w:r w:rsidR="00AF1487">
        <w:rPr>
          <w:sz w:val="28"/>
          <w:szCs w:val="28"/>
        </w:rPr>
        <w:t>d erano</w:t>
      </w:r>
      <w:r w:rsidR="00DC4D89" w:rsidRPr="00DC4D89">
        <w:rPr>
          <w:sz w:val="28"/>
          <w:szCs w:val="28"/>
        </w:rPr>
        <w:t xml:space="preserve">  suscettibili  di  eventuali  modifiche.  </w:t>
      </w:r>
    </w:p>
    <w:p w:rsidR="00DC4D89" w:rsidRPr="00DC4D89" w:rsidRDefault="00DC4D89" w:rsidP="00A12492">
      <w:pPr>
        <w:pStyle w:val="Rientrocorpodeltesto"/>
        <w:spacing w:after="0" w:line="240" w:lineRule="atLeast"/>
        <w:ind w:left="0" w:right="567" w:firstLine="425"/>
        <w:rPr>
          <w:sz w:val="28"/>
          <w:szCs w:val="28"/>
        </w:rPr>
      </w:pPr>
      <w:r w:rsidRPr="00DC4D89">
        <w:rPr>
          <w:sz w:val="28"/>
          <w:szCs w:val="28"/>
        </w:rPr>
        <w:t xml:space="preserve">Nell’ Egitto  romano pare che tali opere pratiche circolassero con una relativa diffusione,  dato che diversi esemplari,  in forma però di  </w:t>
      </w:r>
      <w:proofErr w:type="spellStart"/>
      <w:r w:rsidRPr="00DC4D89">
        <w:rPr>
          <w:i/>
          <w:sz w:val="28"/>
          <w:szCs w:val="28"/>
        </w:rPr>
        <w:t>volumina</w:t>
      </w:r>
      <w:proofErr w:type="spellEnd"/>
      <w:r w:rsidRPr="00DC4D89">
        <w:rPr>
          <w:sz w:val="28"/>
          <w:szCs w:val="28"/>
        </w:rPr>
        <w:t>,  sono giunti in fr</w:t>
      </w:r>
      <w:r w:rsidR="00241B0B">
        <w:rPr>
          <w:sz w:val="28"/>
          <w:szCs w:val="28"/>
        </w:rPr>
        <w:t>amm</w:t>
      </w:r>
      <w:r w:rsidRPr="00DC4D89">
        <w:rPr>
          <w:sz w:val="28"/>
          <w:szCs w:val="28"/>
        </w:rPr>
        <w:t>enti fino a noi</w:t>
      </w:r>
      <w:r w:rsidRPr="00DC4D89">
        <w:rPr>
          <w:rStyle w:val="Rimandonotaapidipagina"/>
          <w:sz w:val="28"/>
          <w:szCs w:val="28"/>
        </w:rPr>
        <w:footnoteReference w:id="36"/>
      </w:r>
      <w:r w:rsidRPr="00DC4D89">
        <w:rPr>
          <w:sz w:val="28"/>
          <w:szCs w:val="28"/>
        </w:rPr>
        <w:t>.  Questi residui di raccolte di precedenti,  di disposizioni  eterogenee, talvolta  riunite  in  base a criteri cronologici,  gerarchici o sistematici e redatte sia da privati che da funzionari, venivano incontro alla radicata concezione  romana  dell’</w:t>
      </w:r>
      <w:proofErr w:type="spellStart"/>
      <w:r w:rsidRPr="00DC4D89">
        <w:rPr>
          <w:i/>
          <w:sz w:val="28"/>
          <w:szCs w:val="28"/>
        </w:rPr>
        <w:t>exemplum</w:t>
      </w:r>
      <w:proofErr w:type="spellEnd"/>
      <w:r w:rsidRPr="00DC4D89">
        <w:rPr>
          <w:sz w:val="28"/>
          <w:szCs w:val="28"/>
        </w:rPr>
        <w:t xml:space="preserve">  e  non dovevano   essere   caratteristiche   soltanto   del  territorio egiziano,  ma diffuse per la loro praticità in  tutto  l’impero.  Anche raccolte di archivi pubblici e privati che si riferivano a disposizioni,  precedenti,  sentenze o </w:t>
      </w:r>
      <w:proofErr w:type="spellStart"/>
      <w:r w:rsidRPr="00DC4D89">
        <w:rPr>
          <w:i/>
          <w:sz w:val="28"/>
          <w:szCs w:val="28"/>
        </w:rPr>
        <w:t>responsa</w:t>
      </w:r>
      <w:proofErr w:type="spellEnd"/>
      <w:r w:rsidRPr="00DC4D89">
        <w:rPr>
          <w:sz w:val="28"/>
          <w:szCs w:val="28"/>
        </w:rPr>
        <w:t xml:space="preserve"> furono alla base delle collezioni dei primi codici,  ove si cominciava pian piano a distinguere in base alla tipo</w:t>
      </w:r>
      <w:r w:rsidR="00AF1487">
        <w:rPr>
          <w:sz w:val="28"/>
          <w:szCs w:val="28"/>
        </w:rPr>
        <w:t xml:space="preserve">logia delle fonti  utilizzate, </w:t>
      </w:r>
      <w:r w:rsidRPr="00DC4D89">
        <w:rPr>
          <w:sz w:val="28"/>
          <w:szCs w:val="28"/>
        </w:rPr>
        <w:t xml:space="preserve">o per temi ed argomenti affini, o secondo un ordine cronologico.  </w:t>
      </w:r>
    </w:p>
    <w:p w:rsidR="0094209C" w:rsidRPr="0094209C" w:rsidRDefault="00DC4D89" w:rsidP="0094209C">
      <w:pPr>
        <w:autoSpaceDE w:val="0"/>
        <w:autoSpaceDN w:val="0"/>
        <w:adjustRightInd w:val="0"/>
        <w:spacing w:after="0" w:line="240" w:lineRule="auto"/>
        <w:ind w:right="567"/>
        <w:rPr>
          <w:rFonts w:ascii="Times New Roman" w:hAnsi="Times New Roman"/>
          <w:sz w:val="28"/>
          <w:szCs w:val="28"/>
          <w:lang w:eastAsia="it-IT"/>
        </w:rPr>
      </w:pPr>
      <w:r w:rsidRPr="0094209C">
        <w:rPr>
          <w:rFonts w:ascii="Times New Roman" w:hAnsi="Times New Roman"/>
          <w:sz w:val="28"/>
          <w:szCs w:val="28"/>
        </w:rPr>
        <w:t xml:space="preserve">Alla  fine  dell’età classica probabilmente circolava già in Egitto una  raccolta  delle  costituzioni  di  Settimio  Severo, </w:t>
      </w:r>
      <w:proofErr w:type="spellStart"/>
      <w:r w:rsidRPr="0094209C">
        <w:rPr>
          <w:rFonts w:ascii="Times New Roman" w:hAnsi="Times New Roman"/>
          <w:sz w:val="28"/>
          <w:szCs w:val="28"/>
        </w:rPr>
        <w:t>Caracalla</w:t>
      </w:r>
      <w:proofErr w:type="spellEnd"/>
      <w:r w:rsidRPr="0094209C">
        <w:rPr>
          <w:rFonts w:ascii="Times New Roman" w:hAnsi="Times New Roman"/>
          <w:sz w:val="28"/>
          <w:szCs w:val="28"/>
        </w:rPr>
        <w:t xml:space="preserve"> e successori</w:t>
      </w:r>
      <w:r w:rsidRPr="0094209C">
        <w:rPr>
          <w:rStyle w:val="Rimandonotaapidipagina"/>
          <w:rFonts w:ascii="Times New Roman" w:hAnsi="Times New Roman"/>
          <w:sz w:val="28"/>
          <w:szCs w:val="28"/>
        </w:rPr>
        <w:footnoteReference w:id="37"/>
      </w:r>
      <w:r w:rsidRPr="0094209C">
        <w:rPr>
          <w:rFonts w:ascii="Times New Roman" w:hAnsi="Times New Roman"/>
          <w:sz w:val="28"/>
          <w:szCs w:val="28"/>
        </w:rPr>
        <w:t xml:space="preserve"> ed il P.</w:t>
      </w:r>
      <w:r w:rsidR="007659D4">
        <w:rPr>
          <w:rFonts w:ascii="Times New Roman" w:hAnsi="Times New Roman"/>
          <w:sz w:val="28"/>
          <w:szCs w:val="28"/>
        </w:rPr>
        <w:t xml:space="preserve">  Col. 123 sembra riferirsi ad </w:t>
      </w:r>
      <w:r w:rsidRPr="0094209C">
        <w:rPr>
          <w:rFonts w:ascii="Times New Roman" w:hAnsi="Times New Roman"/>
          <w:sz w:val="28"/>
          <w:szCs w:val="28"/>
        </w:rPr>
        <w:t xml:space="preserve">una fase preparatoria di raccolta di costituzioni imperiali, in vista di </w:t>
      </w:r>
      <w:r w:rsidRPr="0094209C">
        <w:rPr>
          <w:rFonts w:ascii="Times New Roman" w:hAnsi="Times New Roman"/>
          <w:sz w:val="28"/>
          <w:szCs w:val="28"/>
        </w:rPr>
        <w:lastRenderedPageBreak/>
        <w:t xml:space="preserve">un’opportuna selezione da  tre  diversi  elenchi  di </w:t>
      </w:r>
      <w:proofErr w:type="spellStart"/>
      <w:r w:rsidRPr="0094209C">
        <w:rPr>
          <w:rFonts w:ascii="Times New Roman" w:hAnsi="Times New Roman"/>
          <w:i/>
          <w:sz w:val="28"/>
          <w:szCs w:val="28"/>
        </w:rPr>
        <w:t>interlocutiones</w:t>
      </w:r>
      <w:proofErr w:type="spellEnd"/>
      <w:r w:rsidRPr="0094209C">
        <w:rPr>
          <w:rFonts w:ascii="Times New Roman" w:hAnsi="Times New Roman"/>
          <w:i/>
          <w:sz w:val="28"/>
          <w:szCs w:val="28"/>
        </w:rPr>
        <w:t xml:space="preserve"> de plano</w:t>
      </w:r>
      <w:r w:rsidRPr="0094209C">
        <w:rPr>
          <w:rStyle w:val="Rimandonotaapidipagina"/>
          <w:rFonts w:ascii="Times New Roman" w:hAnsi="Times New Roman"/>
          <w:sz w:val="28"/>
          <w:szCs w:val="28"/>
        </w:rPr>
        <w:footnoteReference w:id="38"/>
      </w:r>
      <w:r w:rsidR="00AF1487" w:rsidRPr="0094209C">
        <w:rPr>
          <w:rFonts w:ascii="Times New Roman" w:hAnsi="Times New Roman"/>
          <w:sz w:val="28"/>
          <w:szCs w:val="28"/>
        </w:rPr>
        <w:t xml:space="preserve">.  Anche il celebre </w:t>
      </w:r>
      <w:proofErr w:type="spellStart"/>
      <w:r w:rsidR="00AF1487" w:rsidRPr="0094209C">
        <w:rPr>
          <w:rFonts w:ascii="Times New Roman" w:hAnsi="Times New Roman"/>
          <w:sz w:val="28"/>
          <w:szCs w:val="28"/>
        </w:rPr>
        <w:t>P.Gi</w:t>
      </w:r>
      <w:r w:rsidRPr="0094209C">
        <w:rPr>
          <w:rFonts w:ascii="Times New Roman" w:hAnsi="Times New Roman"/>
          <w:sz w:val="28"/>
          <w:szCs w:val="28"/>
        </w:rPr>
        <w:t>ss</w:t>
      </w:r>
      <w:proofErr w:type="spellEnd"/>
      <w:r w:rsidR="00AF1487" w:rsidRPr="0094209C">
        <w:rPr>
          <w:rFonts w:ascii="Times New Roman" w:hAnsi="Times New Roman"/>
          <w:sz w:val="28"/>
          <w:szCs w:val="28"/>
        </w:rPr>
        <w:t>.</w:t>
      </w:r>
      <w:r w:rsidRPr="0094209C">
        <w:rPr>
          <w:rFonts w:ascii="Times New Roman" w:hAnsi="Times New Roman"/>
          <w:sz w:val="28"/>
          <w:szCs w:val="28"/>
        </w:rPr>
        <w:t xml:space="preserve"> 40 contiene,  oltre all’editto della concessione della cittadinanza ai provinciali  del  212  d.C.,  una  raccolta  di  costituzioni imperiali,  redatta  nel secondo quarto del III sec.  d.C.  ed è possibile ritenere che sia BGU II, 611, che 628,  contemplassero varie  disposizioni  tramandate  in  una forma abbastanza estesa</w:t>
      </w:r>
      <w:r w:rsidRPr="0094209C">
        <w:rPr>
          <w:rStyle w:val="Rimandonotaapidipagina"/>
          <w:rFonts w:ascii="Times New Roman" w:hAnsi="Times New Roman"/>
          <w:sz w:val="28"/>
          <w:szCs w:val="28"/>
        </w:rPr>
        <w:footnoteReference w:id="39"/>
      </w:r>
      <w:r w:rsidRPr="0094209C">
        <w:rPr>
          <w:rFonts w:ascii="Times New Roman" w:hAnsi="Times New Roman"/>
          <w:sz w:val="28"/>
          <w:szCs w:val="28"/>
        </w:rPr>
        <w:t xml:space="preserve">. </w:t>
      </w:r>
      <w:r w:rsidR="0094209C" w:rsidRPr="0094209C">
        <w:rPr>
          <w:rFonts w:ascii="Times New Roman" w:hAnsi="Times New Roman"/>
          <w:sz w:val="28"/>
          <w:szCs w:val="28"/>
          <w:lang w:eastAsia="it-IT"/>
        </w:rPr>
        <w:t xml:space="preserve">In base </w:t>
      </w:r>
      <w:r w:rsidR="006B0D33">
        <w:rPr>
          <w:rFonts w:ascii="Times New Roman" w:hAnsi="Times New Roman"/>
          <w:sz w:val="28"/>
          <w:szCs w:val="28"/>
          <w:lang w:eastAsia="it-IT"/>
        </w:rPr>
        <w:t xml:space="preserve">anche al </w:t>
      </w:r>
      <w:proofErr w:type="spellStart"/>
      <w:r w:rsidR="006B0D33">
        <w:rPr>
          <w:rFonts w:ascii="Times New Roman" w:hAnsi="Times New Roman"/>
          <w:sz w:val="28"/>
          <w:szCs w:val="28"/>
          <w:lang w:eastAsia="it-IT"/>
        </w:rPr>
        <w:t>P.</w:t>
      </w:r>
      <w:r w:rsidR="0094209C" w:rsidRPr="0094209C">
        <w:rPr>
          <w:rFonts w:ascii="Times New Roman" w:hAnsi="Times New Roman"/>
          <w:sz w:val="28"/>
          <w:szCs w:val="28"/>
          <w:lang w:eastAsia="it-IT"/>
        </w:rPr>
        <w:t>Oxy</w:t>
      </w:r>
      <w:proofErr w:type="spellEnd"/>
      <w:r w:rsidR="0094209C" w:rsidRPr="0094209C">
        <w:rPr>
          <w:rFonts w:ascii="Times New Roman" w:hAnsi="Times New Roman"/>
          <w:sz w:val="28"/>
          <w:szCs w:val="28"/>
          <w:lang w:eastAsia="it-IT"/>
        </w:rPr>
        <w:t>.</w:t>
      </w:r>
      <w:r w:rsidR="0094209C">
        <w:rPr>
          <w:rFonts w:ascii="Times New Roman" w:hAnsi="Times New Roman"/>
          <w:sz w:val="28"/>
          <w:szCs w:val="28"/>
          <w:lang w:eastAsia="it-IT"/>
        </w:rPr>
        <w:t xml:space="preserve"> </w:t>
      </w:r>
      <w:r w:rsidR="0094209C" w:rsidRPr="0094209C">
        <w:rPr>
          <w:rFonts w:ascii="Times New Roman" w:hAnsi="Times New Roman"/>
          <w:sz w:val="28"/>
          <w:szCs w:val="28"/>
          <w:lang w:eastAsia="it-IT"/>
        </w:rPr>
        <w:t>XI, 1407</w:t>
      </w:r>
      <w:r w:rsidR="006B0D33">
        <w:rPr>
          <w:rStyle w:val="Rimandonotaapidipagina"/>
          <w:rFonts w:ascii="Times New Roman" w:hAnsi="Times New Roman"/>
          <w:sz w:val="28"/>
          <w:szCs w:val="28"/>
          <w:lang w:eastAsia="it-IT"/>
        </w:rPr>
        <w:footnoteReference w:id="40"/>
      </w:r>
      <w:r w:rsidR="006B0D33">
        <w:rPr>
          <w:rFonts w:ascii="Times New Roman" w:hAnsi="Times New Roman"/>
          <w:sz w:val="28"/>
          <w:szCs w:val="28"/>
          <w:lang w:eastAsia="it-IT"/>
        </w:rPr>
        <w:t>,</w:t>
      </w:r>
      <w:r w:rsidR="0094209C" w:rsidRPr="0094209C">
        <w:rPr>
          <w:rFonts w:ascii="Times New Roman" w:hAnsi="Times New Roman"/>
          <w:sz w:val="28"/>
          <w:szCs w:val="28"/>
          <w:lang w:eastAsia="it-IT"/>
        </w:rPr>
        <w:t xml:space="preserve"> che contiene una serie di rescritti imperiali, il primo di</w:t>
      </w:r>
      <w:r w:rsidR="0094209C">
        <w:rPr>
          <w:rFonts w:ascii="Times New Roman" w:hAnsi="Times New Roman"/>
          <w:sz w:val="28"/>
          <w:szCs w:val="28"/>
          <w:lang w:eastAsia="it-IT"/>
        </w:rPr>
        <w:t xml:space="preserve"> </w:t>
      </w:r>
      <w:r w:rsidR="0094209C" w:rsidRPr="0094209C">
        <w:rPr>
          <w:rFonts w:ascii="Times New Roman" w:hAnsi="Times New Roman"/>
          <w:sz w:val="28"/>
          <w:szCs w:val="28"/>
          <w:lang w:eastAsia="it-IT"/>
        </w:rPr>
        <w:t xml:space="preserve">Valeriano e </w:t>
      </w:r>
      <w:proofErr w:type="spellStart"/>
      <w:r w:rsidR="0094209C" w:rsidRPr="0094209C">
        <w:rPr>
          <w:rFonts w:ascii="Times New Roman" w:hAnsi="Times New Roman"/>
          <w:sz w:val="28"/>
          <w:szCs w:val="28"/>
          <w:lang w:eastAsia="it-IT"/>
        </w:rPr>
        <w:t>Gallieno</w:t>
      </w:r>
      <w:proofErr w:type="spellEnd"/>
      <w:r w:rsidR="0094209C" w:rsidRPr="0094209C">
        <w:rPr>
          <w:rFonts w:ascii="Times New Roman" w:hAnsi="Times New Roman"/>
          <w:sz w:val="28"/>
          <w:szCs w:val="28"/>
          <w:lang w:eastAsia="it-IT"/>
        </w:rPr>
        <w:t xml:space="preserve"> del 259/260 d.C., il secondo ed il terzo probabilmente</w:t>
      </w:r>
      <w:r w:rsidR="0094209C">
        <w:rPr>
          <w:rFonts w:ascii="Times New Roman" w:hAnsi="Times New Roman"/>
          <w:sz w:val="28"/>
          <w:szCs w:val="28"/>
          <w:lang w:eastAsia="it-IT"/>
        </w:rPr>
        <w:t xml:space="preserve"> </w:t>
      </w:r>
      <w:r w:rsidR="0094209C" w:rsidRPr="0094209C">
        <w:rPr>
          <w:rFonts w:ascii="Times New Roman" w:hAnsi="Times New Roman"/>
          <w:sz w:val="28"/>
          <w:szCs w:val="28"/>
          <w:lang w:eastAsia="it-IT"/>
        </w:rPr>
        <w:t xml:space="preserve">di Claudio II e di Aureliano, o ai P. </w:t>
      </w:r>
      <w:proofErr w:type="spellStart"/>
      <w:r w:rsidR="0094209C" w:rsidRPr="0094209C">
        <w:rPr>
          <w:rFonts w:ascii="Times New Roman" w:hAnsi="Times New Roman"/>
          <w:sz w:val="28"/>
          <w:szCs w:val="28"/>
          <w:lang w:eastAsia="it-IT"/>
        </w:rPr>
        <w:t>Lond</w:t>
      </w:r>
      <w:proofErr w:type="spellEnd"/>
      <w:r w:rsidR="0094209C" w:rsidRPr="0094209C">
        <w:rPr>
          <w:rFonts w:ascii="Times New Roman" w:hAnsi="Times New Roman"/>
          <w:sz w:val="28"/>
          <w:szCs w:val="28"/>
          <w:lang w:eastAsia="it-IT"/>
        </w:rPr>
        <w:t xml:space="preserve">. II, 1178, </w:t>
      </w:r>
      <w:proofErr w:type="spellStart"/>
      <w:r w:rsidR="0094209C" w:rsidRPr="0094209C">
        <w:rPr>
          <w:rFonts w:ascii="Times New Roman" w:hAnsi="Times New Roman"/>
          <w:sz w:val="28"/>
          <w:szCs w:val="28"/>
          <w:lang w:eastAsia="it-IT"/>
        </w:rPr>
        <w:t>P.Oxy.Hels</w:t>
      </w:r>
      <w:proofErr w:type="spellEnd"/>
      <w:r w:rsidR="0094209C" w:rsidRPr="0094209C">
        <w:rPr>
          <w:rFonts w:ascii="Times New Roman" w:hAnsi="Times New Roman"/>
          <w:sz w:val="28"/>
          <w:szCs w:val="28"/>
          <w:lang w:eastAsia="it-IT"/>
        </w:rPr>
        <w:t xml:space="preserve"> 25, BGU IV, 1074, </w:t>
      </w:r>
      <w:proofErr w:type="spellStart"/>
      <w:r w:rsidR="0094209C" w:rsidRPr="0094209C">
        <w:rPr>
          <w:rFonts w:ascii="Times New Roman" w:hAnsi="Times New Roman"/>
          <w:sz w:val="28"/>
          <w:szCs w:val="28"/>
          <w:lang w:eastAsia="it-IT"/>
        </w:rPr>
        <w:t>P.Oxy</w:t>
      </w:r>
      <w:proofErr w:type="spellEnd"/>
      <w:r w:rsidR="0094209C" w:rsidRPr="0094209C">
        <w:rPr>
          <w:rFonts w:ascii="Times New Roman" w:hAnsi="Times New Roman"/>
          <w:sz w:val="28"/>
          <w:szCs w:val="28"/>
          <w:lang w:eastAsia="it-IT"/>
        </w:rPr>
        <w:t xml:space="preserve">. 27, 2475-6, </w:t>
      </w:r>
      <w:proofErr w:type="spellStart"/>
      <w:r w:rsidR="0094209C" w:rsidRPr="0094209C">
        <w:rPr>
          <w:rFonts w:ascii="Times New Roman" w:hAnsi="Times New Roman"/>
          <w:sz w:val="28"/>
          <w:szCs w:val="28"/>
          <w:lang w:eastAsia="it-IT"/>
        </w:rPr>
        <w:t>P.Oxy</w:t>
      </w:r>
      <w:proofErr w:type="spellEnd"/>
      <w:r w:rsidR="0094209C" w:rsidRPr="0094209C">
        <w:rPr>
          <w:rFonts w:ascii="Times New Roman" w:hAnsi="Times New Roman"/>
          <w:sz w:val="28"/>
          <w:szCs w:val="28"/>
          <w:lang w:eastAsia="it-IT"/>
        </w:rPr>
        <w:t xml:space="preserve">. 31, 2610, presi in considerazione da </w:t>
      </w:r>
      <w:proofErr w:type="spellStart"/>
      <w:r w:rsidR="0094209C" w:rsidRPr="0094209C">
        <w:rPr>
          <w:rFonts w:ascii="Times New Roman" w:hAnsi="Times New Roman"/>
          <w:sz w:val="28"/>
          <w:szCs w:val="28"/>
          <w:lang w:eastAsia="it-IT"/>
        </w:rPr>
        <w:t>Migliardi</w:t>
      </w:r>
      <w:proofErr w:type="spellEnd"/>
      <w:r w:rsidR="0094209C">
        <w:rPr>
          <w:rStyle w:val="Rimandonotaapidipagina"/>
          <w:rFonts w:ascii="Times New Roman" w:hAnsi="Times New Roman"/>
          <w:sz w:val="28"/>
          <w:szCs w:val="28"/>
          <w:lang w:eastAsia="it-IT"/>
        </w:rPr>
        <w:footnoteReference w:id="41"/>
      </w:r>
      <w:r w:rsidR="0094209C" w:rsidRPr="0094209C">
        <w:rPr>
          <w:rFonts w:ascii="Times New Roman" w:hAnsi="Times New Roman"/>
          <w:sz w:val="28"/>
          <w:szCs w:val="28"/>
          <w:lang w:eastAsia="it-IT"/>
        </w:rPr>
        <w:t xml:space="preserve"> </w:t>
      </w:r>
      <w:r w:rsidR="00BA0E2E">
        <w:rPr>
          <w:rFonts w:ascii="Times New Roman" w:hAnsi="Times New Roman"/>
          <w:sz w:val="28"/>
          <w:szCs w:val="28"/>
          <w:lang w:eastAsia="it-IT"/>
        </w:rPr>
        <w:t xml:space="preserve">e relativi a raccolte della seconda metà del III sec. d.C., </w:t>
      </w:r>
      <w:r w:rsidR="0094209C" w:rsidRPr="0094209C">
        <w:rPr>
          <w:rFonts w:ascii="Times New Roman" w:hAnsi="Times New Roman"/>
          <w:sz w:val="28"/>
          <w:szCs w:val="28"/>
          <w:lang w:eastAsia="it-IT"/>
        </w:rPr>
        <w:t>si può pensare che l’origine delle prime</w:t>
      </w:r>
      <w:r w:rsidR="0094209C">
        <w:rPr>
          <w:rFonts w:ascii="Times New Roman" w:hAnsi="Times New Roman"/>
          <w:sz w:val="28"/>
          <w:szCs w:val="28"/>
          <w:lang w:eastAsia="it-IT"/>
        </w:rPr>
        <w:t xml:space="preserve"> </w:t>
      </w:r>
      <w:r w:rsidR="0094209C" w:rsidRPr="0094209C">
        <w:rPr>
          <w:rFonts w:ascii="Times New Roman" w:hAnsi="Times New Roman"/>
          <w:sz w:val="28"/>
          <w:szCs w:val="28"/>
          <w:lang w:eastAsia="it-IT"/>
        </w:rPr>
        <w:t>codificazioni di diritto dell’Occidente derivi proprio da tali testi, già</w:t>
      </w:r>
      <w:r w:rsidR="0094209C">
        <w:rPr>
          <w:rFonts w:ascii="Times New Roman" w:hAnsi="Times New Roman"/>
          <w:sz w:val="28"/>
          <w:szCs w:val="28"/>
          <w:lang w:eastAsia="it-IT"/>
        </w:rPr>
        <w:t xml:space="preserve"> </w:t>
      </w:r>
      <w:r w:rsidR="0094209C" w:rsidRPr="0094209C">
        <w:rPr>
          <w:rFonts w:ascii="Times New Roman" w:hAnsi="Times New Roman"/>
          <w:sz w:val="28"/>
          <w:szCs w:val="28"/>
          <w:lang w:eastAsia="it-IT"/>
        </w:rPr>
        <w:t>diffusi in Egitto nell’ultima parte dell’età classica, precedendo i primi</w:t>
      </w:r>
      <w:r w:rsidR="0094209C">
        <w:rPr>
          <w:rFonts w:ascii="Times New Roman" w:hAnsi="Times New Roman"/>
          <w:sz w:val="28"/>
          <w:szCs w:val="28"/>
          <w:lang w:eastAsia="it-IT"/>
        </w:rPr>
        <w:t xml:space="preserve"> </w:t>
      </w:r>
      <w:r w:rsidR="0094209C" w:rsidRPr="0094209C">
        <w:rPr>
          <w:rFonts w:ascii="Times New Roman" w:hAnsi="Times New Roman"/>
          <w:sz w:val="28"/>
          <w:szCs w:val="28"/>
          <w:lang w:eastAsia="it-IT"/>
        </w:rPr>
        <w:t>codici privati di età dioclezianea.</w:t>
      </w:r>
    </w:p>
    <w:p w:rsidR="0094209C" w:rsidRDefault="0094209C" w:rsidP="0094209C">
      <w:pPr>
        <w:autoSpaceDE w:val="0"/>
        <w:autoSpaceDN w:val="0"/>
        <w:adjustRightInd w:val="0"/>
        <w:spacing w:after="0" w:line="240" w:lineRule="auto"/>
        <w:ind w:right="567"/>
        <w:rPr>
          <w:rFonts w:ascii="Times New Roman" w:hAnsi="Times New Roman"/>
          <w:sz w:val="28"/>
          <w:szCs w:val="28"/>
          <w:lang w:eastAsia="it-IT"/>
        </w:rPr>
      </w:pPr>
      <w:r w:rsidRPr="0094209C">
        <w:rPr>
          <w:rFonts w:ascii="Times New Roman" w:hAnsi="Times New Roman"/>
          <w:sz w:val="28"/>
          <w:szCs w:val="28"/>
          <w:lang w:eastAsia="it-IT"/>
        </w:rPr>
        <w:t>Ma anche tra i testi epigrafici si possono annoverare diverse raccolte di</w:t>
      </w:r>
      <w:r>
        <w:rPr>
          <w:rFonts w:ascii="Times New Roman" w:hAnsi="Times New Roman"/>
          <w:sz w:val="28"/>
          <w:szCs w:val="28"/>
          <w:lang w:eastAsia="it-IT"/>
        </w:rPr>
        <w:t xml:space="preserve"> </w:t>
      </w:r>
      <w:r w:rsidRPr="0094209C">
        <w:rPr>
          <w:rFonts w:ascii="Times New Roman" w:hAnsi="Times New Roman"/>
          <w:sz w:val="28"/>
          <w:szCs w:val="28"/>
          <w:lang w:eastAsia="it-IT"/>
        </w:rPr>
        <w:t>provvedimenti imperiali, esposte in pubblico in un unico contesto</w:t>
      </w:r>
      <w:r w:rsidR="00F02D2E">
        <w:rPr>
          <w:rStyle w:val="Rimandonotaapidipagina"/>
          <w:rFonts w:ascii="Times New Roman" w:hAnsi="Times New Roman"/>
          <w:sz w:val="28"/>
          <w:szCs w:val="28"/>
          <w:lang w:eastAsia="it-IT"/>
        </w:rPr>
        <w:footnoteReference w:id="42"/>
      </w:r>
      <w:r w:rsidRPr="0094209C">
        <w:rPr>
          <w:rFonts w:ascii="Times New Roman" w:hAnsi="Times New Roman"/>
          <w:sz w:val="28"/>
          <w:szCs w:val="28"/>
          <w:lang w:eastAsia="it-IT"/>
        </w:rPr>
        <w:t xml:space="preserve"> dagli</w:t>
      </w:r>
      <w:r>
        <w:rPr>
          <w:rFonts w:ascii="Times New Roman" w:hAnsi="Times New Roman"/>
          <w:sz w:val="28"/>
          <w:szCs w:val="28"/>
          <w:lang w:eastAsia="it-IT"/>
        </w:rPr>
        <w:t xml:space="preserve"> </w:t>
      </w:r>
      <w:r w:rsidRPr="0094209C">
        <w:rPr>
          <w:rFonts w:ascii="Times New Roman" w:hAnsi="Times New Roman"/>
          <w:sz w:val="28"/>
          <w:szCs w:val="28"/>
          <w:lang w:eastAsia="it-IT"/>
        </w:rPr>
        <w:t xml:space="preserve">stessi destinatari, </w:t>
      </w:r>
      <w:r w:rsidRPr="0094209C">
        <w:rPr>
          <w:rFonts w:ascii="Times New Roman" w:hAnsi="Times New Roman"/>
          <w:sz w:val="28"/>
          <w:szCs w:val="28"/>
          <w:lang w:eastAsia="it-IT"/>
        </w:rPr>
        <w:lastRenderedPageBreak/>
        <w:t>che avevano tutto l’interesse a conservare ed esibire gli</w:t>
      </w:r>
      <w:r>
        <w:rPr>
          <w:rFonts w:ascii="Times New Roman" w:hAnsi="Times New Roman"/>
          <w:sz w:val="28"/>
          <w:szCs w:val="28"/>
          <w:lang w:eastAsia="it-IT"/>
        </w:rPr>
        <w:t xml:space="preserve"> </w:t>
      </w:r>
      <w:r w:rsidRPr="0094209C">
        <w:rPr>
          <w:rFonts w:ascii="Times New Roman" w:hAnsi="Times New Roman"/>
          <w:sz w:val="28"/>
          <w:szCs w:val="28"/>
          <w:lang w:eastAsia="it-IT"/>
        </w:rPr>
        <w:t>onori, i privilegi, le concessioni ottenute. E anche se il tenore di queste</w:t>
      </w:r>
      <w:r>
        <w:rPr>
          <w:rFonts w:ascii="Times New Roman" w:hAnsi="Times New Roman"/>
          <w:sz w:val="28"/>
          <w:szCs w:val="28"/>
          <w:lang w:eastAsia="it-IT"/>
        </w:rPr>
        <w:t xml:space="preserve"> </w:t>
      </w:r>
      <w:r w:rsidRPr="0094209C">
        <w:rPr>
          <w:rFonts w:ascii="Times New Roman" w:hAnsi="Times New Roman"/>
          <w:sz w:val="28"/>
          <w:szCs w:val="28"/>
          <w:lang w:eastAsia="it-IT"/>
        </w:rPr>
        <w:t>sillogi è, per lo più, di parte e non di generale interesse giuridico, non vi</w:t>
      </w:r>
      <w:r>
        <w:rPr>
          <w:rFonts w:ascii="Times New Roman" w:hAnsi="Times New Roman"/>
          <w:sz w:val="28"/>
          <w:szCs w:val="28"/>
          <w:lang w:eastAsia="it-IT"/>
        </w:rPr>
        <w:t xml:space="preserve"> </w:t>
      </w:r>
      <w:r w:rsidRPr="0094209C">
        <w:rPr>
          <w:rFonts w:ascii="Times New Roman" w:hAnsi="Times New Roman"/>
          <w:sz w:val="28"/>
          <w:szCs w:val="28"/>
          <w:lang w:eastAsia="it-IT"/>
        </w:rPr>
        <w:t>è alcun dubbio che anche tali complessi, concepiti unitariamente e ora</w:t>
      </w:r>
      <w:r>
        <w:rPr>
          <w:rFonts w:ascii="Times New Roman" w:hAnsi="Times New Roman"/>
          <w:sz w:val="28"/>
          <w:szCs w:val="28"/>
          <w:lang w:eastAsia="it-IT"/>
        </w:rPr>
        <w:t xml:space="preserve"> </w:t>
      </w:r>
      <w:r w:rsidRPr="0094209C">
        <w:rPr>
          <w:rFonts w:ascii="Times New Roman" w:hAnsi="Times New Roman"/>
          <w:sz w:val="28"/>
          <w:szCs w:val="28"/>
          <w:lang w:eastAsia="it-IT"/>
        </w:rPr>
        <w:t>sovente frantumati e dispersi, si integrino felicemente con le raccolte di</w:t>
      </w:r>
      <w:r>
        <w:rPr>
          <w:rFonts w:ascii="Times New Roman" w:hAnsi="Times New Roman"/>
          <w:sz w:val="28"/>
          <w:szCs w:val="28"/>
          <w:lang w:eastAsia="it-IT"/>
        </w:rPr>
        <w:t xml:space="preserve"> </w:t>
      </w:r>
      <w:r w:rsidRPr="0094209C">
        <w:rPr>
          <w:rFonts w:ascii="Times New Roman" w:hAnsi="Times New Roman"/>
          <w:sz w:val="28"/>
          <w:szCs w:val="28"/>
          <w:lang w:eastAsia="it-IT"/>
        </w:rPr>
        <w:t>costituzioni su papiro e, concorrendo a fornirci uno spaccato vivace della</w:t>
      </w:r>
      <w:r>
        <w:rPr>
          <w:rFonts w:ascii="Times New Roman" w:hAnsi="Times New Roman"/>
          <w:sz w:val="28"/>
          <w:szCs w:val="28"/>
          <w:lang w:eastAsia="it-IT"/>
        </w:rPr>
        <w:t xml:space="preserve"> </w:t>
      </w:r>
      <w:r w:rsidRPr="0094209C">
        <w:rPr>
          <w:rFonts w:ascii="Times New Roman" w:hAnsi="Times New Roman"/>
          <w:sz w:val="28"/>
          <w:szCs w:val="28"/>
          <w:lang w:eastAsia="it-IT"/>
        </w:rPr>
        <w:t>reale vita dell’Impero, possono contribuire a ricostruire la “protostoria”</w:t>
      </w:r>
      <w:r>
        <w:rPr>
          <w:rFonts w:ascii="Times New Roman" w:hAnsi="Times New Roman"/>
          <w:sz w:val="28"/>
          <w:szCs w:val="28"/>
          <w:lang w:eastAsia="it-IT"/>
        </w:rPr>
        <w:t xml:space="preserve"> </w:t>
      </w:r>
      <w:r w:rsidRPr="0094209C">
        <w:rPr>
          <w:rFonts w:ascii="Times New Roman" w:hAnsi="Times New Roman"/>
          <w:sz w:val="28"/>
          <w:szCs w:val="28"/>
          <w:lang w:eastAsia="it-IT"/>
        </w:rPr>
        <w:t>dei primi codici.</w:t>
      </w:r>
    </w:p>
    <w:p w:rsidR="007659D4" w:rsidRPr="005332D9" w:rsidRDefault="007659D4" w:rsidP="005332D9">
      <w:pPr>
        <w:autoSpaceDE w:val="0"/>
        <w:autoSpaceDN w:val="0"/>
        <w:adjustRightInd w:val="0"/>
        <w:spacing w:after="0" w:line="240" w:lineRule="auto"/>
        <w:ind w:right="567"/>
        <w:rPr>
          <w:rFonts w:ascii="Times New Roman" w:hAnsi="Times New Roman"/>
          <w:sz w:val="28"/>
          <w:szCs w:val="28"/>
          <w:lang w:eastAsia="it-IT"/>
        </w:rPr>
      </w:pPr>
      <w:r>
        <w:rPr>
          <w:rFonts w:ascii="Times New Roman" w:hAnsi="Times New Roman"/>
          <w:sz w:val="28"/>
          <w:szCs w:val="28"/>
          <w:lang w:eastAsia="it-IT"/>
        </w:rPr>
        <w:t xml:space="preserve">I primi codici di diritto derivarono infatti da raccolte pratiche di casi concreti per orientare la prassi giudiziaria, ma anche da antiche sillogi di archivi pubblici e privati di provvedimenti generali, che in Egitto erano da tempo note, come </w:t>
      </w:r>
      <w:r w:rsidR="005332D9">
        <w:rPr>
          <w:rFonts w:ascii="Times New Roman" w:hAnsi="Times New Roman"/>
          <w:sz w:val="28"/>
          <w:szCs w:val="28"/>
          <w:lang w:eastAsia="it-IT"/>
        </w:rPr>
        <w:t xml:space="preserve">indicano il c.d. ‘Codice di </w:t>
      </w:r>
      <w:proofErr w:type="spellStart"/>
      <w:r w:rsidR="005332D9">
        <w:rPr>
          <w:rFonts w:ascii="Times New Roman" w:hAnsi="Times New Roman"/>
          <w:sz w:val="28"/>
          <w:szCs w:val="28"/>
          <w:lang w:eastAsia="it-IT"/>
        </w:rPr>
        <w:t>Ermupoli</w:t>
      </w:r>
      <w:proofErr w:type="spellEnd"/>
      <w:r w:rsidR="005332D9">
        <w:rPr>
          <w:rFonts w:ascii="Times New Roman" w:hAnsi="Times New Roman"/>
          <w:sz w:val="28"/>
          <w:szCs w:val="28"/>
          <w:lang w:eastAsia="it-IT"/>
        </w:rPr>
        <w:t>’</w:t>
      </w:r>
      <w:r w:rsidR="005332D9">
        <w:rPr>
          <w:rStyle w:val="Rimandonotaapidipagina"/>
          <w:rFonts w:ascii="Times New Roman" w:hAnsi="Times New Roman"/>
          <w:sz w:val="28"/>
          <w:szCs w:val="28"/>
          <w:lang w:eastAsia="it-IT"/>
        </w:rPr>
        <w:footnoteReference w:id="43"/>
      </w:r>
      <w:r w:rsidR="005332D9">
        <w:rPr>
          <w:rFonts w:ascii="Times New Roman" w:hAnsi="Times New Roman"/>
          <w:sz w:val="28"/>
          <w:szCs w:val="28"/>
          <w:lang w:eastAsia="it-IT"/>
        </w:rPr>
        <w:t xml:space="preserve"> e le altre versioni greche o demotiche di testi simili</w:t>
      </w:r>
      <w:r w:rsidR="005332D9">
        <w:rPr>
          <w:rStyle w:val="Rimandonotaapidipagina"/>
          <w:rFonts w:ascii="Times New Roman" w:hAnsi="Times New Roman"/>
          <w:sz w:val="28"/>
          <w:szCs w:val="28"/>
          <w:lang w:eastAsia="it-IT"/>
        </w:rPr>
        <w:footnoteReference w:id="44"/>
      </w:r>
      <w:r w:rsidR="005332D9">
        <w:rPr>
          <w:rFonts w:ascii="Times New Roman" w:hAnsi="Times New Roman"/>
          <w:sz w:val="28"/>
          <w:szCs w:val="28"/>
          <w:lang w:eastAsia="it-IT"/>
        </w:rPr>
        <w:t>, che raccoglievano disposizioni locali di origine sacra, preservando il patrimonio nazionale del passato faraonico</w:t>
      </w:r>
      <w:r w:rsidR="005332D9">
        <w:rPr>
          <w:rStyle w:val="Rimandonotaapidipagina"/>
          <w:rFonts w:ascii="Times New Roman" w:hAnsi="Times New Roman"/>
          <w:sz w:val="28"/>
          <w:szCs w:val="28"/>
          <w:lang w:eastAsia="it-IT"/>
        </w:rPr>
        <w:footnoteReference w:id="45"/>
      </w:r>
      <w:r w:rsidR="005332D9">
        <w:rPr>
          <w:rFonts w:ascii="Times New Roman" w:hAnsi="Times New Roman"/>
          <w:sz w:val="28"/>
          <w:szCs w:val="28"/>
          <w:lang w:eastAsia="it-IT"/>
        </w:rPr>
        <w:t xml:space="preserve"> o ellenistico, come i </w:t>
      </w:r>
      <w:proofErr w:type="spellStart"/>
      <w:r w:rsidR="005332D9">
        <w:rPr>
          <w:rFonts w:ascii="Times New Roman" w:hAnsi="Times New Roman"/>
          <w:i/>
          <w:sz w:val="28"/>
          <w:szCs w:val="28"/>
          <w:lang w:eastAsia="it-IT"/>
        </w:rPr>
        <w:t>Dikaiomata</w:t>
      </w:r>
      <w:proofErr w:type="spellEnd"/>
      <w:r w:rsidR="005332D9">
        <w:rPr>
          <w:rFonts w:ascii="Times New Roman" w:hAnsi="Times New Roman"/>
          <w:sz w:val="28"/>
          <w:szCs w:val="28"/>
          <w:lang w:eastAsia="it-IT"/>
        </w:rPr>
        <w:t xml:space="preserve">, </w:t>
      </w:r>
      <w:r w:rsidR="005332D9">
        <w:rPr>
          <w:rFonts w:ascii="Times New Roman" w:hAnsi="Times New Roman"/>
          <w:i/>
          <w:sz w:val="28"/>
          <w:szCs w:val="28"/>
          <w:lang w:eastAsia="it-IT"/>
        </w:rPr>
        <w:t xml:space="preserve">corpus </w:t>
      </w:r>
      <w:r w:rsidR="005332D9">
        <w:rPr>
          <w:rFonts w:ascii="Times New Roman" w:hAnsi="Times New Roman"/>
          <w:sz w:val="28"/>
          <w:szCs w:val="28"/>
          <w:lang w:eastAsia="it-IT"/>
        </w:rPr>
        <w:t xml:space="preserve">delle ordinanze dei </w:t>
      </w:r>
      <w:proofErr w:type="spellStart"/>
      <w:r w:rsidR="005332D9">
        <w:rPr>
          <w:rFonts w:ascii="Times New Roman" w:hAnsi="Times New Roman"/>
          <w:sz w:val="28"/>
          <w:szCs w:val="28"/>
          <w:lang w:eastAsia="it-IT"/>
        </w:rPr>
        <w:t>Tolomei</w:t>
      </w:r>
      <w:proofErr w:type="spellEnd"/>
      <w:r w:rsidR="005332D9">
        <w:rPr>
          <w:rStyle w:val="Rimandonotaapidipagina"/>
          <w:rFonts w:ascii="Times New Roman" w:hAnsi="Times New Roman"/>
          <w:sz w:val="28"/>
          <w:szCs w:val="28"/>
          <w:lang w:eastAsia="it-IT"/>
        </w:rPr>
        <w:footnoteReference w:id="46"/>
      </w:r>
      <w:r w:rsidR="005332D9">
        <w:rPr>
          <w:rFonts w:ascii="Times New Roman" w:hAnsi="Times New Roman"/>
          <w:sz w:val="28"/>
          <w:szCs w:val="28"/>
          <w:lang w:eastAsia="it-IT"/>
        </w:rPr>
        <w:t>.</w:t>
      </w:r>
    </w:p>
    <w:p w:rsidR="00DC4D89" w:rsidRPr="00DC4D89" w:rsidRDefault="00DC4D89" w:rsidP="00A12492">
      <w:pPr>
        <w:pStyle w:val="Rientrocorpodeltesto"/>
        <w:spacing w:after="0" w:line="240" w:lineRule="atLeast"/>
        <w:ind w:left="0" w:right="567" w:firstLine="425"/>
        <w:rPr>
          <w:sz w:val="28"/>
          <w:szCs w:val="28"/>
        </w:rPr>
      </w:pPr>
      <w:r w:rsidRPr="00DC4D89">
        <w:rPr>
          <w:sz w:val="28"/>
          <w:szCs w:val="28"/>
        </w:rPr>
        <w:t xml:space="preserve"> I fr</w:t>
      </w:r>
      <w:r w:rsidR="0094209C">
        <w:rPr>
          <w:sz w:val="28"/>
          <w:szCs w:val="28"/>
        </w:rPr>
        <w:t>ammenti epigrafici e papiracei</w:t>
      </w:r>
      <w:r w:rsidRPr="00DC4D89">
        <w:rPr>
          <w:sz w:val="28"/>
          <w:szCs w:val="28"/>
        </w:rPr>
        <w:t xml:space="preserve"> in questione,  importanti anche per il problema della  massimazione  dei  testi  delle  costituzioni  imperiali, sembrano comunque indicare che, pur non sussistendo la reverenza verso il  tenore  letterale  dell’atto  normativo  tipica  della concezione  autoritaria  del diritto,  assai presto si giunse al pieno  rispetto  del  dettato  dell’imperatore  nel  ricavare la massima giuridica</w:t>
      </w:r>
      <w:r w:rsidR="00E94460">
        <w:rPr>
          <w:sz w:val="28"/>
          <w:szCs w:val="28"/>
        </w:rPr>
        <w:t>, mantenendo parole e frasi del testo originario</w:t>
      </w:r>
      <w:r w:rsidRPr="00DC4D89">
        <w:rPr>
          <w:sz w:val="28"/>
          <w:szCs w:val="28"/>
        </w:rPr>
        <w:t xml:space="preserve">.  </w:t>
      </w:r>
    </w:p>
    <w:p w:rsidR="00DC4D89" w:rsidRPr="00DC4D89" w:rsidRDefault="00DC4D89" w:rsidP="00A12492">
      <w:pPr>
        <w:pStyle w:val="Rientrocorpodeltesto"/>
        <w:spacing w:after="0" w:line="240" w:lineRule="atLeast"/>
        <w:ind w:left="0" w:right="567" w:firstLine="425"/>
        <w:rPr>
          <w:sz w:val="28"/>
          <w:szCs w:val="28"/>
        </w:rPr>
      </w:pPr>
      <w:r w:rsidRPr="00DC4D89">
        <w:rPr>
          <w:sz w:val="28"/>
          <w:szCs w:val="28"/>
        </w:rPr>
        <w:t>Oltre che dalle registrazioni negli  archivi  ufficiali,  la formazione  dei  primi  codici  fu  influenzata  dalle  raccolte private degli operatori di diritto.  E  certamente  un  notevole progresso fu conseguito col superamento del criterio cronologico dei  registri  e coll’introduzione della partizione per materia.</w:t>
      </w:r>
      <w:r w:rsidR="00E94460">
        <w:rPr>
          <w:sz w:val="28"/>
          <w:szCs w:val="28"/>
        </w:rPr>
        <w:t xml:space="preserve"> </w:t>
      </w:r>
      <w:r w:rsidRPr="00DC4D89">
        <w:rPr>
          <w:sz w:val="28"/>
          <w:szCs w:val="28"/>
        </w:rPr>
        <w:t xml:space="preserve">Alle collezioni pratico-giudiziarie, testimoniate in petizioni e verbali processuali,  come la famosa  </w:t>
      </w:r>
      <w:proofErr w:type="spellStart"/>
      <w:r w:rsidRPr="00DC4D89">
        <w:rPr>
          <w:i/>
          <w:sz w:val="28"/>
          <w:szCs w:val="28"/>
        </w:rPr>
        <w:t>petitio</w:t>
      </w:r>
      <w:proofErr w:type="spellEnd"/>
      <w:r w:rsidRPr="00DC4D89">
        <w:rPr>
          <w:i/>
          <w:sz w:val="28"/>
          <w:szCs w:val="28"/>
        </w:rPr>
        <w:t xml:space="preserve"> </w:t>
      </w:r>
      <w:proofErr w:type="spellStart"/>
      <w:r w:rsidRPr="00DC4D89">
        <w:rPr>
          <w:i/>
          <w:sz w:val="28"/>
          <w:szCs w:val="28"/>
        </w:rPr>
        <w:t>Dionysiae</w:t>
      </w:r>
      <w:proofErr w:type="spellEnd"/>
      <w:r w:rsidR="00E94460">
        <w:rPr>
          <w:sz w:val="28"/>
          <w:szCs w:val="28"/>
        </w:rPr>
        <w:t xml:space="preserve">  del  186 (</w:t>
      </w:r>
      <w:proofErr w:type="spellStart"/>
      <w:r w:rsidR="00E94460">
        <w:rPr>
          <w:sz w:val="28"/>
          <w:szCs w:val="28"/>
        </w:rPr>
        <w:t>P.</w:t>
      </w:r>
      <w:r w:rsidRPr="00DC4D89">
        <w:rPr>
          <w:sz w:val="28"/>
          <w:szCs w:val="28"/>
        </w:rPr>
        <w:t>Oxy</w:t>
      </w:r>
      <w:proofErr w:type="spellEnd"/>
      <w:r w:rsidRPr="00DC4D89">
        <w:rPr>
          <w:sz w:val="28"/>
          <w:szCs w:val="28"/>
        </w:rPr>
        <w:t>.  II,  2</w:t>
      </w:r>
      <w:r w:rsidR="00E94460">
        <w:rPr>
          <w:sz w:val="28"/>
          <w:szCs w:val="28"/>
        </w:rPr>
        <w:t xml:space="preserve">37) o </w:t>
      </w:r>
      <w:r w:rsidR="00267EFE">
        <w:rPr>
          <w:sz w:val="28"/>
          <w:szCs w:val="28"/>
        </w:rPr>
        <w:t xml:space="preserve">il </w:t>
      </w:r>
      <w:proofErr w:type="spellStart"/>
      <w:r w:rsidR="00E94460">
        <w:rPr>
          <w:sz w:val="28"/>
          <w:szCs w:val="28"/>
        </w:rPr>
        <w:t>P.</w:t>
      </w:r>
      <w:r w:rsidRPr="00DC4D89">
        <w:rPr>
          <w:sz w:val="28"/>
          <w:szCs w:val="28"/>
        </w:rPr>
        <w:t>Tebt</w:t>
      </w:r>
      <w:proofErr w:type="spellEnd"/>
      <w:r w:rsidRPr="00DC4D89">
        <w:rPr>
          <w:sz w:val="28"/>
          <w:szCs w:val="28"/>
        </w:rPr>
        <w:t>.  II, 286 del 121 - 138, ove parte di un rescritto di  Adriano  influenzò  la  sorte  di  tre successivi   processi,   si   affiancarono   raccolte  dida</w:t>
      </w:r>
      <w:r w:rsidR="00E94460">
        <w:rPr>
          <w:sz w:val="28"/>
          <w:szCs w:val="28"/>
        </w:rPr>
        <w:t xml:space="preserve">ttico scientifiche, come il </w:t>
      </w:r>
      <w:proofErr w:type="spellStart"/>
      <w:r w:rsidR="00E94460">
        <w:rPr>
          <w:sz w:val="28"/>
          <w:szCs w:val="28"/>
        </w:rPr>
        <w:t>P.Strass</w:t>
      </w:r>
      <w:proofErr w:type="spellEnd"/>
      <w:r w:rsidR="00E94460">
        <w:rPr>
          <w:sz w:val="28"/>
          <w:szCs w:val="28"/>
        </w:rPr>
        <w:t xml:space="preserve">. 22 o il </w:t>
      </w:r>
      <w:proofErr w:type="spellStart"/>
      <w:r w:rsidR="00E94460">
        <w:rPr>
          <w:sz w:val="28"/>
          <w:szCs w:val="28"/>
        </w:rPr>
        <w:t>P.</w:t>
      </w:r>
      <w:r w:rsidRPr="00DC4D89">
        <w:rPr>
          <w:sz w:val="28"/>
          <w:szCs w:val="28"/>
        </w:rPr>
        <w:t>Cattaui</w:t>
      </w:r>
      <w:proofErr w:type="spellEnd"/>
      <w:r w:rsidRPr="00DC4D89">
        <w:rPr>
          <w:sz w:val="28"/>
          <w:szCs w:val="28"/>
        </w:rPr>
        <w:t xml:space="preserve"> </w:t>
      </w:r>
      <w:r w:rsidRPr="00DC4D89">
        <w:rPr>
          <w:i/>
          <w:sz w:val="28"/>
          <w:szCs w:val="28"/>
        </w:rPr>
        <w:t>r</w:t>
      </w:r>
      <w:r w:rsidRPr="00DC4D89">
        <w:rPr>
          <w:sz w:val="28"/>
          <w:szCs w:val="28"/>
        </w:rPr>
        <w:t xml:space="preserve">, ove precedenti  eterogenei  dal  114  al  142 d.C.  sviluppavano con intenti teorico didattici le  implicazioni  dell’invalidità  del matrimonio dei militari.  </w:t>
      </w:r>
    </w:p>
    <w:p w:rsidR="00DC4D89" w:rsidRPr="00DC4D89" w:rsidRDefault="00DC4D89" w:rsidP="00A12492">
      <w:pPr>
        <w:pStyle w:val="Rientrocorpodeltesto"/>
        <w:spacing w:after="0" w:line="240" w:lineRule="atLeast"/>
        <w:ind w:left="0" w:right="567" w:firstLine="425"/>
        <w:rPr>
          <w:sz w:val="28"/>
          <w:szCs w:val="28"/>
        </w:rPr>
      </w:pPr>
      <w:r w:rsidRPr="00DC4D89">
        <w:rPr>
          <w:sz w:val="28"/>
          <w:szCs w:val="28"/>
        </w:rPr>
        <w:t>Le  prime  raccolte di precedenti furono fonti di cognizione volte  a  mostrare  la  continuità nell’applicazione di un determinato comportamento</w:t>
      </w:r>
      <w:r w:rsidR="00E94460">
        <w:rPr>
          <w:sz w:val="28"/>
          <w:szCs w:val="28"/>
        </w:rPr>
        <w:t xml:space="preserve"> nel tempo</w:t>
      </w:r>
      <w:r w:rsidR="00B35B0D">
        <w:rPr>
          <w:rStyle w:val="Rimandonotaapidipagina"/>
          <w:sz w:val="28"/>
          <w:szCs w:val="28"/>
        </w:rPr>
        <w:footnoteReference w:id="47"/>
      </w:r>
      <w:r w:rsidRPr="00DC4D89">
        <w:rPr>
          <w:sz w:val="28"/>
          <w:szCs w:val="28"/>
        </w:rPr>
        <w:t xml:space="preserve">, piuttosto che </w:t>
      </w:r>
      <w:r w:rsidRPr="00DC4D89">
        <w:rPr>
          <w:sz w:val="28"/>
          <w:szCs w:val="28"/>
        </w:rPr>
        <w:lastRenderedPageBreak/>
        <w:t>fonti di produzione del diritto</w:t>
      </w:r>
      <w:r w:rsidRPr="00DC4D89">
        <w:rPr>
          <w:rStyle w:val="Rimandonotaapidipagina"/>
          <w:sz w:val="28"/>
          <w:szCs w:val="28"/>
        </w:rPr>
        <w:footnoteReference w:id="48"/>
      </w:r>
      <w:r w:rsidR="007659D4">
        <w:rPr>
          <w:sz w:val="28"/>
          <w:szCs w:val="28"/>
        </w:rPr>
        <w:t xml:space="preserve">. Se inizialmente  materiali  assai </w:t>
      </w:r>
      <w:r w:rsidRPr="00DC4D89">
        <w:rPr>
          <w:sz w:val="28"/>
          <w:szCs w:val="28"/>
        </w:rPr>
        <w:t>eterogenei potevano essere raccolti su di un livello di parità,  ben presto il  fenomeno</w:t>
      </w:r>
      <w:r w:rsidR="00B35B0D">
        <w:rPr>
          <w:sz w:val="28"/>
          <w:szCs w:val="28"/>
        </w:rPr>
        <w:t xml:space="preserve">  della  generalizzazione  del </w:t>
      </w:r>
      <w:r w:rsidRPr="00DC4D89">
        <w:rPr>
          <w:sz w:val="28"/>
          <w:szCs w:val="28"/>
        </w:rPr>
        <w:t>rescritto,</w:t>
      </w:r>
      <w:r w:rsidR="00B35B0D">
        <w:rPr>
          <w:sz w:val="28"/>
          <w:szCs w:val="28"/>
        </w:rPr>
        <w:t xml:space="preserve"> </w:t>
      </w:r>
      <w:r w:rsidRPr="00DC4D89">
        <w:rPr>
          <w:sz w:val="28"/>
          <w:szCs w:val="28"/>
        </w:rPr>
        <w:t>risposta specifica imp</w:t>
      </w:r>
      <w:r w:rsidR="00B35B0D">
        <w:rPr>
          <w:sz w:val="28"/>
          <w:szCs w:val="28"/>
        </w:rPr>
        <w:t xml:space="preserve">eriale che finì per applicarsi ai casi </w:t>
      </w:r>
      <w:r w:rsidRPr="00DC4D89">
        <w:rPr>
          <w:sz w:val="28"/>
          <w:szCs w:val="28"/>
        </w:rPr>
        <w:t xml:space="preserve">analoghi, contribuì  a confermare la forza del precedente,  soprattutto se riferito all’imperatore.  </w:t>
      </w:r>
    </w:p>
    <w:p w:rsidR="00DC4D89" w:rsidRPr="00DC4D89" w:rsidRDefault="00DC4D89" w:rsidP="00A12492">
      <w:pPr>
        <w:pStyle w:val="Rientrocorpodeltesto"/>
        <w:spacing w:after="0" w:line="240" w:lineRule="atLeast"/>
        <w:ind w:left="0" w:right="567" w:firstLine="425"/>
        <w:rPr>
          <w:sz w:val="28"/>
          <w:szCs w:val="28"/>
        </w:rPr>
      </w:pPr>
      <w:r w:rsidRPr="00DC4D89">
        <w:rPr>
          <w:sz w:val="28"/>
          <w:szCs w:val="28"/>
        </w:rPr>
        <w:t xml:space="preserve">In base all’esame di  queste  raccolte  non  sembra  che  in Egitto  vi  sia  stato  alcun obbligo,  almeno inizialmente,  di attenersi al giudicato di un giudice gerarchicamente superiore e l’inesistenza del concetto di fonte del diritto e di  un  ordine gerarchico     determinava la possibilità di citare indifferentemente precedenti di corti giudiziarie di  più  basso rango,  con  una tendenza a collegare materiali vari,  anche con citazioni  non  di  prima  mano,   allo  scopo  di  indicare  la continuità  di  una disposizione o la sua protratta applicazione pratica,  accordando  la  preferenza  alla  più  recente prassi.  </w:t>
      </w:r>
    </w:p>
    <w:p w:rsidR="00DC4D89" w:rsidRDefault="00DC4D89" w:rsidP="00B35B0D">
      <w:pPr>
        <w:pStyle w:val="Rientronormale"/>
        <w:spacing w:line="240" w:lineRule="atLeast"/>
        <w:ind w:left="0" w:right="567" w:firstLine="426"/>
        <w:rPr>
          <w:sz w:val="28"/>
          <w:szCs w:val="28"/>
        </w:rPr>
      </w:pPr>
      <w:r w:rsidRPr="00DC4D89">
        <w:rPr>
          <w:sz w:val="28"/>
          <w:szCs w:val="28"/>
        </w:rPr>
        <w:t xml:space="preserve">Nello stesso tempo in cui circolavano  raccolte  di  tal  genere realizzate  per  l’esigenza di agevolare i giudizi e favorire il rapido reperimento della regola costante nel tempo  da  seguire, la crescente autorità delle costituzioni imperiali, che godevano di  certezza  e stabilità,  favorì gradualmente la formazione di collezioni di costituzioni realizzate da studiosi  e  pratici  e coadiuvate  da registrazioni,  più o meno ufficiali,  più o meno massimate,  degli  archivi  pubblici  e  privati.  Come  le  più antiche  raccolte  di  precedenti  in  </w:t>
      </w:r>
      <w:proofErr w:type="spellStart"/>
      <w:r w:rsidRPr="00DC4D89">
        <w:rPr>
          <w:i/>
          <w:sz w:val="28"/>
          <w:szCs w:val="28"/>
        </w:rPr>
        <w:t>volumina</w:t>
      </w:r>
      <w:proofErr w:type="spellEnd"/>
      <w:r w:rsidRPr="00DC4D89">
        <w:rPr>
          <w:sz w:val="28"/>
          <w:szCs w:val="28"/>
        </w:rPr>
        <w:t>,  i primi codici proponevano all’interprete  la  più  recente  e  stabile  regola inserita tra materiali di non eguale valore.  Ben presto però il venir  meno  della  libertà insita nel sistema giurisprudenziale condusse  alla  determinazione  di  criteri  automatici  per  il reperimento  della  regola  da applicare al caso concreto,  alla determinazione di un ordine gerarchico delle fonti del  diritto, all’aspirazione   ad  un  codice  di  tutte  le  leggi  generali dell’impero.  La pretesa da parte dell’ordine legislativo ad una solennità sacrale troverà nel codice,  monumento del passato  ed al   tempo   stesso   astratta  opera  dottrinale,   il  simbolo dell’autorità divina ed umana,  che condurrà ad una accettazione totale del testo.</w:t>
      </w:r>
    </w:p>
    <w:p w:rsidR="00CE7C61" w:rsidRDefault="00CE7C61" w:rsidP="00B35B0D">
      <w:pPr>
        <w:pStyle w:val="Rientronormale"/>
        <w:spacing w:line="240" w:lineRule="atLeast"/>
        <w:ind w:left="0" w:right="567" w:firstLine="426"/>
        <w:rPr>
          <w:sz w:val="28"/>
          <w:szCs w:val="28"/>
        </w:rPr>
      </w:pPr>
    </w:p>
    <w:p w:rsidR="00CE7C61" w:rsidRDefault="00CE7C61" w:rsidP="00B35B0D">
      <w:pPr>
        <w:pStyle w:val="Rientronormale"/>
        <w:spacing w:line="240" w:lineRule="atLeast"/>
        <w:ind w:left="0" w:right="567" w:firstLine="426"/>
        <w:rPr>
          <w:sz w:val="28"/>
          <w:szCs w:val="28"/>
        </w:rPr>
      </w:pPr>
      <w:r>
        <w:rPr>
          <w:sz w:val="28"/>
          <w:szCs w:val="28"/>
        </w:rPr>
        <w:t xml:space="preserve">     Palermo, </w:t>
      </w:r>
      <w:r w:rsidR="00D525A8">
        <w:rPr>
          <w:sz w:val="28"/>
          <w:szCs w:val="28"/>
        </w:rPr>
        <w:t>4</w:t>
      </w:r>
      <w:r>
        <w:rPr>
          <w:sz w:val="28"/>
          <w:szCs w:val="28"/>
        </w:rPr>
        <w:t xml:space="preserve"> luglio 2015                                                               </w:t>
      </w:r>
    </w:p>
    <w:p w:rsidR="00CE7C61" w:rsidRPr="00807FFC" w:rsidRDefault="00CE7C61" w:rsidP="00B35B0D">
      <w:pPr>
        <w:pStyle w:val="Rientronormale"/>
        <w:spacing w:line="240" w:lineRule="atLeast"/>
        <w:ind w:left="0" w:right="567" w:firstLine="426"/>
        <w:rPr>
          <w:sz w:val="28"/>
          <w:szCs w:val="28"/>
        </w:rPr>
      </w:pPr>
      <w:r>
        <w:rPr>
          <w:sz w:val="28"/>
          <w:szCs w:val="28"/>
        </w:rPr>
        <w:t xml:space="preserve">                                                                     Gianfranco Purpura</w:t>
      </w:r>
    </w:p>
    <w:sectPr w:rsidR="00CE7C61" w:rsidRPr="00807FFC" w:rsidSect="00010A8B">
      <w:headerReference w:type="default" r:id="rId8"/>
      <w:pgSz w:w="11907" w:h="16840" w:code="9"/>
      <w:pgMar w:top="851" w:right="425" w:bottom="851" w:left="709" w:header="0" w:footer="45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A1" w:rsidRDefault="007212A1" w:rsidP="00524EF0">
      <w:pPr>
        <w:spacing w:after="0" w:line="240" w:lineRule="auto"/>
      </w:pPr>
      <w:r>
        <w:separator/>
      </w:r>
    </w:p>
  </w:endnote>
  <w:endnote w:type="continuationSeparator" w:id="0">
    <w:p w:rsidR="007212A1" w:rsidRDefault="007212A1" w:rsidP="00524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AdobeGaramond"/>
    <w:panose1 w:val="020F0502020204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eek">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A1" w:rsidRDefault="007212A1" w:rsidP="00524EF0">
      <w:pPr>
        <w:spacing w:after="0" w:line="240" w:lineRule="auto"/>
      </w:pPr>
      <w:r>
        <w:separator/>
      </w:r>
    </w:p>
  </w:footnote>
  <w:footnote w:type="continuationSeparator" w:id="0">
    <w:p w:rsidR="007212A1" w:rsidRDefault="007212A1" w:rsidP="00524EF0">
      <w:pPr>
        <w:spacing w:after="0" w:line="240" w:lineRule="auto"/>
      </w:pPr>
      <w:r>
        <w:continuationSeparator/>
      </w:r>
    </w:p>
  </w:footnote>
  <w:footnote w:id="1">
    <w:p w:rsidR="002E0AAC" w:rsidRPr="00586C88" w:rsidRDefault="002E0AAC" w:rsidP="004B6226">
      <w:pPr>
        <w:pStyle w:val="Testonotaapidipagina"/>
        <w:ind w:right="567"/>
        <w:rPr>
          <w:rFonts w:ascii="Times New Roman" w:hAnsi="Times New Roman"/>
        </w:rPr>
      </w:pPr>
      <w:r>
        <w:rPr>
          <w:rStyle w:val="Rimandonotaapidipagina"/>
        </w:rPr>
        <w:footnoteRef/>
      </w:r>
      <w:r w:rsidRPr="00586C88">
        <w:t xml:space="preserve"> </w:t>
      </w:r>
      <w:r w:rsidRPr="00586C88">
        <w:rPr>
          <w:rFonts w:ascii="Times New Roman" w:hAnsi="Times New Roman"/>
        </w:rPr>
        <w:t xml:space="preserve">G. Purpura, </w:t>
      </w:r>
      <w:r w:rsidRPr="00586C88">
        <w:rPr>
          <w:rFonts w:ascii="Times New Roman" w:hAnsi="Times New Roman"/>
          <w:i/>
        </w:rPr>
        <w:t>Dalle raccolte di precedenti alle prime codificazioni postclassiche: alcune testimonianze papiracee</w:t>
      </w:r>
      <w:r w:rsidRPr="00586C88">
        <w:rPr>
          <w:rFonts w:ascii="Times New Roman" w:hAnsi="Times New Roman"/>
        </w:rPr>
        <w:t>, AUPA, XLII, 1992, pp. 675</w:t>
      </w:r>
      <w:r>
        <w:rPr>
          <w:rFonts w:ascii="Times New Roman" w:hAnsi="Times New Roman"/>
        </w:rPr>
        <w:t xml:space="preserve"> ss.</w:t>
      </w:r>
    </w:p>
  </w:footnote>
  <w:footnote w:id="2">
    <w:p w:rsidR="002E0AAC" w:rsidRPr="006112D6" w:rsidRDefault="002E0AAC" w:rsidP="006112D6">
      <w:pPr>
        <w:pStyle w:val="Testonotaapidipagina"/>
        <w:ind w:right="567"/>
        <w:rPr>
          <w:rFonts w:ascii="Times New Roman" w:hAnsi="Times New Roman"/>
        </w:rPr>
      </w:pPr>
      <w:r>
        <w:rPr>
          <w:rStyle w:val="Rimandonotaapidipagina"/>
        </w:rPr>
        <w:footnoteRef/>
      </w:r>
      <w:r w:rsidRPr="006112D6">
        <w:rPr>
          <w:lang w:val="en-US"/>
        </w:rPr>
        <w:t xml:space="preserve"> </w:t>
      </w:r>
      <w:r w:rsidRPr="006112D6">
        <w:rPr>
          <w:rFonts w:ascii="Times New Roman" w:hAnsi="Times New Roman"/>
          <w:lang w:val="en-US"/>
        </w:rPr>
        <w:t xml:space="preserve">R. </w:t>
      </w:r>
      <w:proofErr w:type="spellStart"/>
      <w:r w:rsidRPr="006112D6">
        <w:rPr>
          <w:rFonts w:ascii="Times New Roman" w:hAnsi="Times New Roman"/>
          <w:lang w:val="en-US"/>
        </w:rPr>
        <w:t>Katzoff</w:t>
      </w:r>
      <w:proofErr w:type="spellEnd"/>
      <w:r w:rsidRPr="006112D6">
        <w:rPr>
          <w:rFonts w:ascii="Times New Roman" w:hAnsi="Times New Roman"/>
          <w:lang w:val="en-US"/>
        </w:rPr>
        <w:t xml:space="preserve">, </w:t>
      </w:r>
      <w:r w:rsidRPr="006112D6">
        <w:rPr>
          <w:rFonts w:ascii="Times New Roman" w:hAnsi="Times New Roman"/>
          <w:i/>
          <w:lang w:val="en-US"/>
        </w:rPr>
        <w:t>Precedents in the courts of roman Egypt</w:t>
      </w:r>
      <w:r w:rsidRPr="006112D6">
        <w:rPr>
          <w:rFonts w:ascii="Times New Roman" w:hAnsi="Times New Roman"/>
          <w:lang w:val="en-US"/>
        </w:rPr>
        <w:t xml:space="preserve">, ZSS, 89, 1972, pp. 257 </w:t>
      </w:r>
      <w:proofErr w:type="spellStart"/>
      <w:r w:rsidRPr="006112D6">
        <w:rPr>
          <w:rFonts w:ascii="Times New Roman" w:hAnsi="Times New Roman"/>
          <w:lang w:val="en-US"/>
        </w:rPr>
        <w:t>ss</w:t>
      </w:r>
      <w:proofErr w:type="spellEnd"/>
      <w:r w:rsidRPr="006112D6">
        <w:rPr>
          <w:rFonts w:ascii="Times New Roman" w:hAnsi="Times New Roman"/>
          <w:lang w:val="en-US"/>
        </w:rPr>
        <w:t xml:space="preserve">,; Id., </w:t>
      </w:r>
      <w:r w:rsidRPr="006112D6">
        <w:rPr>
          <w:rFonts w:ascii="Times New Roman" w:hAnsi="Times New Roman"/>
          <w:i/>
          <w:lang w:val="en-US"/>
        </w:rPr>
        <w:t>Sources of law in roman Egypt</w:t>
      </w:r>
      <w:r w:rsidRPr="006112D6">
        <w:rPr>
          <w:rFonts w:ascii="Times New Roman" w:hAnsi="Times New Roman"/>
          <w:lang w:val="en-US"/>
        </w:rPr>
        <w:t>, ANRW, II, 13, pp. 833 ss.</w:t>
      </w:r>
      <w:r>
        <w:rPr>
          <w:rFonts w:ascii="Times New Roman" w:hAnsi="Times New Roman"/>
          <w:lang w:val="en-US"/>
        </w:rPr>
        <w:t xml:space="preserve"> </w:t>
      </w:r>
      <w:r w:rsidRPr="006112D6">
        <w:rPr>
          <w:rFonts w:ascii="Times New Roman" w:hAnsi="Times New Roman"/>
        </w:rPr>
        <w:t>(</w:t>
      </w:r>
      <w:proofErr w:type="spellStart"/>
      <w:r w:rsidRPr="006112D6">
        <w:rPr>
          <w:rFonts w:ascii="Times New Roman" w:hAnsi="Times New Roman"/>
          <w:i/>
        </w:rPr>
        <w:t>praecipue</w:t>
      </w:r>
      <w:proofErr w:type="spellEnd"/>
      <w:r w:rsidRPr="006112D6">
        <w:rPr>
          <w:rFonts w:ascii="Times New Roman" w:hAnsi="Times New Roman"/>
        </w:rPr>
        <w:t>:</w:t>
      </w:r>
      <w:r w:rsidRPr="006112D6">
        <w:rPr>
          <w:rFonts w:ascii="Times New Roman" w:hAnsi="Times New Roman"/>
          <w:i/>
        </w:rPr>
        <w:t xml:space="preserve"> </w:t>
      </w:r>
      <w:proofErr w:type="spellStart"/>
      <w:r w:rsidRPr="006112D6">
        <w:rPr>
          <w:rFonts w:ascii="Times New Roman" w:hAnsi="Times New Roman"/>
        </w:rPr>
        <w:t>Collections</w:t>
      </w:r>
      <w:proofErr w:type="spellEnd"/>
      <w:r>
        <w:rPr>
          <w:rFonts w:ascii="Times New Roman" w:hAnsi="Times New Roman"/>
        </w:rPr>
        <w:t>,</w:t>
      </w:r>
      <w:r w:rsidRPr="006112D6">
        <w:rPr>
          <w:rFonts w:ascii="Times New Roman" w:hAnsi="Times New Roman"/>
        </w:rPr>
        <w:t xml:space="preserve"> p</w:t>
      </w:r>
      <w:r>
        <w:rPr>
          <w:rFonts w:ascii="Times New Roman" w:hAnsi="Times New Roman"/>
        </w:rPr>
        <w:t>p. 838-840).</w:t>
      </w:r>
    </w:p>
  </w:footnote>
  <w:footnote w:id="3">
    <w:p w:rsidR="002E0AAC" w:rsidRDefault="002E0AAC" w:rsidP="004B6226">
      <w:pPr>
        <w:pStyle w:val="Testonotaapidipagina"/>
        <w:ind w:right="567"/>
      </w:pPr>
      <w:r w:rsidRPr="003223C3">
        <w:rPr>
          <w:rStyle w:val="Rimandonotaapidipagina"/>
          <w:rFonts w:ascii="Times New Roman" w:hAnsi="Times New Roman"/>
        </w:rPr>
        <w:footnoteRef/>
      </w:r>
      <w:r w:rsidRPr="003223C3">
        <w:rPr>
          <w:rFonts w:ascii="Times New Roman" w:hAnsi="Times New Roman"/>
        </w:rPr>
        <w:t xml:space="preserve"> J. </w:t>
      </w:r>
      <w:proofErr w:type="spellStart"/>
      <w:r w:rsidRPr="003223C3">
        <w:rPr>
          <w:rFonts w:ascii="Times New Roman" w:hAnsi="Times New Roman"/>
        </w:rPr>
        <w:t>Bottéro</w:t>
      </w:r>
      <w:proofErr w:type="spellEnd"/>
      <w:r w:rsidRPr="003223C3">
        <w:rPr>
          <w:rFonts w:ascii="Times New Roman" w:hAnsi="Times New Roman"/>
          <w:smallCaps/>
        </w:rPr>
        <w:t xml:space="preserve">, </w:t>
      </w:r>
      <w:r w:rsidRPr="003223C3">
        <w:rPr>
          <w:rFonts w:ascii="Times New Roman" w:hAnsi="Times New Roman"/>
          <w:i/>
        </w:rPr>
        <w:t xml:space="preserve">Le “Code” de </w:t>
      </w:r>
      <w:proofErr w:type="spellStart"/>
      <w:r w:rsidRPr="003223C3">
        <w:rPr>
          <w:rFonts w:ascii="Times New Roman" w:hAnsi="Times New Roman"/>
          <w:i/>
        </w:rPr>
        <w:t>Hammurabi</w:t>
      </w:r>
      <w:proofErr w:type="spellEnd"/>
      <w:r w:rsidRPr="003223C3">
        <w:rPr>
          <w:rFonts w:ascii="Times New Roman" w:hAnsi="Times New Roman"/>
          <w:smallCaps/>
        </w:rPr>
        <w:t>,</w:t>
      </w:r>
      <w:r w:rsidRPr="003223C3">
        <w:rPr>
          <w:rFonts w:ascii="Times New Roman" w:hAnsi="Times New Roman"/>
        </w:rPr>
        <w:t xml:space="preserve"> Annali della Scuola </w:t>
      </w:r>
      <w:proofErr w:type="spellStart"/>
      <w:r w:rsidRPr="003223C3">
        <w:rPr>
          <w:rFonts w:ascii="Times New Roman" w:hAnsi="Times New Roman"/>
        </w:rPr>
        <w:t>Norm</w:t>
      </w:r>
      <w:proofErr w:type="spellEnd"/>
      <w:r w:rsidRPr="003223C3">
        <w:rPr>
          <w:rFonts w:ascii="Times New Roman" w:hAnsi="Times New Roman"/>
        </w:rPr>
        <w:t>. Sup. di Pisa, XII, 2, 1982, pp. 409-444</w:t>
      </w:r>
      <w:r>
        <w:t>.</w:t>
      </w:r>
    </w:p>
  </w:footnote>
  <w:footnote w:id="4">
    <w:p w:rsidR="002E0AAC" w:rsidRPr="00C56C74" w:rsidRDefault="002E0AAC" w:rsidP="004B6226">
      <w:pPr>
        <w:pStyle w:val="Testonotaapidipagina"/>
        <w:ind w:right="567"/>
        <w:rPr>
          <w:rFonts w:ascii="Times New Roman" w:hAnsi="Times New Roman"/>
        </w:rPr>
      </w:pPr>
      <w:r>
        <w:rPr>
          <w:rStyle w:val="Rimandonotaapidipagina"/>
        </w:rPr>
        <w:footnoteRef/>
      </w:r>
      <w:r w:rsidRPr="00C56C74">
        <w:t xml:space="preserve"> </w:t>
      </w:r>
      <w:r w:rsidRPr="0033019D">
        <w:rPr>
          <w:rFonts w:ascii="Times New Roman" w:hAnsi="Times New Roman"/>
        </w:rPr>
        <w:t xml:space="preserve">A. Schiavone, </w:t>
      </w:r>
      <w:r w:rsidRPr="0033019D">
        <w:rPr>
          <w:rFonts w:ascii="Times New Roman" w:hAnsi="Times New Roman"/>
          <w:i/>
        </w:rPr>
        <w:t>Pensiero giuridico e razionalità aristocratica</w:t>
      </w:r>
      <w:r w:rsidRPr="0033019D">
        <w:rPr>
          <w:rFonts w:ascii="Times New Roman" w:hAnsi="Times New Roman"/>
        </w:rPr>
        <w:t>, in Storia di Roma,</w:t>
      </w:r>
      <w:r w:rsidRPr="0033019D">
        <w:rPr>
          <w:rFonts w:ascii="Times New Roman" w:hAnsi="Times New Roman"/>
          <w:i/>
        </w:rPr>
        <w:t xml:space="preserve"> </w:t>
      </w:r>
      <w:r w:rsidRPr="0033019D">
        <w:rPr>
          <w:rFonts w:ascii="Times New Roman" w:hAnsi="Times New Roman"/>
        </w:rPr>
        <w:t>II, 1, La repubblica imperiale, Torino, 1990, pp. 427</w:t>
      </w:r>
      <w:r>
        <w:rPr>
          <w:rFonts w:ascii="Times New Roman" w:hAnsi="Times New Roman"/>
        </w:rPr>
        <w:t xml:space="preserve"> ss.</w:t>
      </w:r>
    </w:p>
  </w:footnote>
  <w:footnote w:id="5">
    <w:p w:rsidR="002E0AAC" w:rsidRPr="007B4C32" w:rsidRDefault="002E0AAC" w:rsidP="004B6226">
      <w:pPr>
        <w:pStyle w:val="Testonotaapidipagina"/>
        <w:ind w:right="567"/>
        <w:rPr>
          <w:rFonts w:ascii="Times New Roman" w:hAnsi="Times New Roman"/>
        </w:rPr>
      </w:pPr>
      <w:r>
        <w:rPr>
          <w:rStyle w:val="Rimandonotaapidipagina"/>
        </w:rPr>
        <w:footnoteRef/>
      </w:r>
      <w:r w:rsidRPr="007B4C32">
        <w:t xml:space="preserve"> </w:t>
      </w:r>
      <w:r w:rsidRPr="007B4C32">
        <w:rPr>
          <w:rFonts w:ascii="Times New Roman" w:hAnsi="Times New Roman"/>
        </w:rPr>
        <w:t xml:space="preserve">P. Cerami, </w:t>
      </w:r>
      <w:r w:rsidRPr="007B4C32">
        <w:rPr>
          <w:rFonts w:ascii="Times New Roman" w:hAnsi="Times New Roman"/>
          <w:i/>
        </w:rPr>
        <w:t>Profilo storico g</w:t>
      </w:r>
      <w:r>
        <w:rPr>
          <w:rFonts w:ascii="Times New Roman" w:hAnsi="Times New Roman"/>
          <w:i/>
        </w:rPr>
        <w:t>iurisprudenziale del diritto pubblico romano</w:t>
      </w:r>
      <w:r>
        <w:rPr>
          <w:rFonts w:ascii="Times New Roman" w:hAnsi="Times New Roman"/>
        </w:rPr>
        <w:t>, Torino, 2007, p. 338.</w:t>
      </w:r>
    </w:p>
  </w:footnote>
  <w:footnote w:id="6">
    <w:p w:rsidR="002E0AAC" w:rsidRPr="00C66DBC" w:rsidRDefault="002E0AAC" w:rsidP="004B6226">
      <w:pPr>
        <w:pStyle w:val="Testonotaapidipagina"/>
        <w:ind w:right="567"/>
        <w:rPr>
          <w:rFonts w:ascii="Times New Roman" w:hAnsi="Times New Roman"/>
          <w:lang w:val="en-US"/>
        </w:rPr>
      </w:pPr>
      <w:r w:rsidRPr="00A12492">
        <w:rPr>
          <w:rStyle w:val="Rimandonotaapidipagina"/>
          <w:rFonts w:ascii="Times New Roman" w:hAnsi="Times New Roman"/>
        </w:rPr>
        <w:footnoteRef/>
      </w:r>
      <w:r w:rsidRPr="00A12492">
        <w:rPr>
          <w:rFonts w:ascii="Times New Roman" w:hAnsi="Times New Roman"/>
        </w:rPr>
        <w:t xml:space="preserve"> </w:t>
      </w:r>
      <w:r>
        <w:rPr>
          <w:rFonts w:ascii="Times New Roman" w:hAnsi="Times New Roman"/>
        </w:rPr>
        <w:t>Cfr</w:t>
      </w:r>
      <w:r w:rsidRPr="00A12492">
        <w:rPr>
          <w:rFonts w:ascii="Times New Roman" w:hAnsi="Times New Roman"/>
        </w:rPr>
        <w:t>., in proposito,</w:t>
      </w:r>
      <w:r w:rsidR="00F87CBD">
        <w:rPr>
          <w:rFonts w:ascii="Times New Roman" w:hAnsi="Times New Roman"/>
        </w:rPr>
        <w:t xml:space="preserve"> V. </w:t>
      </w:r>
      <w:r w:rsidRPr="00A12492">
        <w:rPr>
          <w:rFonts w:ascii="Times New Roman" w:hAnsi="Times New Roman"/>
        </w:rPr>
        <w:t xml:space="preserve">Piano Mortati, voce </w:t>
      </w:r>
      <w:r w:rsidRPr="00A12492">
        <w:rPr>
          <w:rFonts w:ascii="Times New Roman" w:hAnsi="Times New Roman"/>
          <w:i/>
          <w:iCs/>
        </w:rPr>
        <w:t>Codice (storia),</w:t>
      </w:r>
      <w:r>
        <w:rPr>
          <w:rFonts w:ascii="Times New Roman" w:hAnsi="Times New Roman"/>
        </w:rPr>
        <w:t xml:space="preserve"> </w:t>
      </w:r>
      <w:proofErr w:type="spellStart"/>
      <w:r w:rsidRPr="00A12492">
        <w:rPr>
          <w:rFonts w:ascii="Times New Roman" w:hAnsi="Times New Roman"/>
          <w:i/>
          <w:iCs/>
        </w:rPr>
        <w:t>Enc</w:t>
      </w:r>
      <w:proofErr w:type="spellEnd"/>
      <w:r w:rsidRPr="00A12492">
        <w:rPr>
          <w:rFonts w:ascii="Times New Roman" w:hAnsi="Times New Roman"/>
          <w:i/>
          <w:iCs/>
        </w:rPr>
        <w:t>. del dir.</w:t>
      </w:r>
      <w:r>
        <w:rPr>
          <w:rFonts w:ascii="Times New Roman" w:hAnsi="Times New Roman"/>
          <w:iCs/>
        </w:rPr>
        <w:t xml:space="preserve"> VII,</w:t>
      </w:r>
      <w:r w:rsidRPr="00A12492">
        <w:rPr>
          <w:rFonts w:ascii="Times New Roman" w:hAnsi="Times New Roman"/>
        </w:rPr>
        <w:t xml:space="preserve"> (</w:t>
      </w:r>
      <w:r>
        <w:rPr>
          <w:rFonts w:ascii="Times New Roman" w:hAnsi="Times New Roman"/>
        </w:rPr>
        <w:t>1</w:t>
      </w:r>
      <w:r w:rsidRPr="00A12492">
        <w:rPr>
          <w:rFonts w:ascii="Times New Roman" w:hAnsi="Times New Roman"/>
        </w:rPr>
        <w:t xml:space="preserve">960), </w:t>
      </w:r>
      <w:r>
        <w:rPr>
          <w:rFonts w:ascii="Times New Roman" w:hAnsi="Times New Roman"/>
        </w:rPr>
        <w:t xml:space="preserve">pp. </w:t>
      </w:r>
      <w:r w:rsidRPr="00A12492">
        <w:rPr>
          <w:rFonts w:ascii="Times New Roman" w:hAnsi="Times New Roman"/>
        </w:rPr>
        <w:t xml:space="preserve">228 ss. </w:t>
      </w:r>
      <w:r>
        <w:rPr>
          <w:rFonts w:ascii="Times New Roman" w:hAnsi="Times New Roman"/>
        </w:rPr>
        <w:t>"</w:t>
      </w:r>
      <w:r w:rsidRPr="00A12492">
        <w:rPr>
          <w:rFonts w:ascii="Times New Roman" w:hAnsi="Times New Roman"/>
        </w:rPr>
        <w:t>Il razionalismo dell’età illuministica propugnò l’idea di un sistema giuridico universale, applicabile a tutti i popoli ed a tutte le situazioni. L’espressione più significativa di un siffatto astrattismo universalizzante fu costituito dal Codice prussiano realizzato, su incarico di Fede</w:t>
      </w:r>
      <w:r>
        <w:rPr>
          <w:rFonts w:ascii="Times New Roman" w:hAnsi="Times New Roman"/>
        </w:rPr>
        <w:t>ri</w:t>
      </w:r>
      <w:r w:rsidRPr="00A12492">
        <w:rPr>
          <w:rFonts w:ascii="Times New Roman" w:hAnsi="Times New Roman"/>
        </w:rPr>
        <w:t xml:space="preserve">co II, da Samuele </w:t>
      </w:r>
      <w:proofErr w:type="spellStart"/>
      <w:r w:rsidRPr="00A12492">
        <w:rPr>
          <w:rFonts w:ascii="Times New Roman" w:hAnsi="Times New Roman"/>
        </w:rPr>
        <w:t>Cocceio</w:t>
      </w:r>
      <w:proofErr w:type="spellEnd"/>
      <w:r w:rsidRPr="00A12492">
        <w:rPr>
          <w:rFonts w:ascii="Times New Roman" w:hAnsi="Times New Roman"/>
        </w:rPr>
        <w:t>, fra il 1749 ed il 1751, e mai entrato in vigore proprio a causa del suo esasperato astrattismo</w:t>
      </w:r>
      <w:r>
        <w:rPr>
          <w:rFonts w:ascii="Times New Roman" w:hAnsi="Times New Roman"/>
        </w:rPr>
        <w:t>"</w:t>
      </w:r>
      <w:r w:rsidRPr="00A12492">
        <w:rPr>
          <w:rFonts w:ascii="Times New Roman" w:hAnsi="Times New Roman"/>
        </w:rPr>
        <w:t>.</w:t>
      </w:r>
      <w:r>
        <w:rPr>
          <w:rFonts w:ascii="Times New Roman" w:hAnsi="Times New Roman"/>
        </w:rPr>
        <w:t xml:space="preserve"> </w:t>
      </w:r>
      <w:proofErr w:type="spellStart"/>
      <w:r w:rsidRPr="00C66DBC">
        <w:rPr>
          <w:rFonts w:ascii="Times New Roman" w:hAnsi="Times New Roman"/>
          <w:lang w:val="en-US"/>
        </w:rPr>
        <w:t>Così</w:t>
      </w:r>
      <w:proofErr w:type="spellEnd"/>
      <w:r w:rsidRPr="00C66DBC">
        <w:rPr>
          <w:rFonts w:ascii="Times New Roman" w:hAnsi="Times New Roman"/>
          <w:lang w:val="en-US"/>
        </w:rPr>
        <w:t xml:space="preserve"> in </w:t>
      </w:r>
      <w:r w:rsidR="00F87CBD">
        <w:rPr>
          <w:rFonts w:ascii="Times New Roman" w:hAnsi="Times New Roman"/>
          <w:lang w:val="en-US"/>
        </w:rPr>
        <w:t xml:space="preserve">P. </w:t>
      </w:r>
      <w:proofErr w:type="spellStart"/>
      <w:r w:rsidRPr="00C66DBC">
        <w:rPr>
          <w:rFonts w:ascii="Times New Roman" w:hAnsi="Times New Roman"/>
          <w:lang w:val="en-US"/>
        </w:rPr>
        <w:t>Cerami</w:t>
      </w:r>
      <w:proofErr w:type="spellEnd"/>
      <w:r w:rsidRPr="00C66DBC">
        <w:rPr>
          <w:rFonts w:ascii="Times New Roman" w:hAnsi="Times New Roman"/>
          <w:lang w:val="en-US"/>
        </w:rPr>
        <w:t xml:space="preserve">, </w:t>
      </w:r>
      <w:r w:rsidRPr="00C66DBC">
        <w:rPr>
          <w:rFonts w:ascii="Times New Roman" w:hAnsi="Times New Roman"/>
          <w:i/>
          <w:lang w:val="en-US"/>
        </w:rPr>
        <w:t>l.c.</w:t>
      </w:r>
      <w:r w:rsidRPr="00C66DBC">
        <w:rPr>
          <w:rFonts w:ascii="Times New Roman" w:hAnsi="Times New Roman"/>
          <w:lang w:val="en-US"/>
        </w:rPr>
        <w:t xml:space="preserve"> </w:t>
      </w:r>
    </w:p>
  </w:footnote>
  <w:footnote w:id="7">
    <w:p w:rsidR="002E0AAC" w:rsidRPr="00393665" w:rsidRDefault="002E0AAC" w:rsidP="004B6226">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lang w:val="en-GB"/>
        </w:rPr>
        <w:t xml:space="preserve"> J. Lawrence Sharpe III, </w:t>
      </w:r>
      <w:r>
        <w:rPr>
          <w:rFonts w:ascii="Times New Roman" w:hAnsi="Times New Roman"/>
          <w:i/>
          <w:lang w:val="en-GB"/>
        </w:rPr>
        <w:t xml:space="preserve"> The </w:t>
      </w:r>
      <w:proofErr w:type="spellStart"/>
      <w:r>
        <w:rPr>
          <w:rFonts w:ascii="Times New Roman" w:hAnsi="Times New Roman"/>
          <w:i/>
          <w:lang w:val="en-GB"/>
        </w:rPr>
        <w:t>Dakhleh</w:t>
      </w:r>
      <w:proofErr w:type="spellEnd"/>
      <w:r>
        <w:rPr>
          <w:rFonts w:ascii="Times New Roman" w:hAnsi="Times New Roman"/>
          <w:i/>
          <w:lang w:val="en-GB"/>
        </w:rPr>
        <w:t xml:space="preserve"> tablets and some </w:t>
      </w:r>
      <w:proofErr w:type="spellStart"/>
      <w:r>
        <w:rPr>
          <w:rFonts w:ascii="Times New Roman" w:hAnsi="Times New Roman"/>
          <w:i/>
          <w:lang w:val="en-GB"/>
        </w:rPr>
        <w:t>codicological</w:t>
      </w:r>
      <w:proofErr w:type="spellEnd"/>
      <w:r>
        <w:rPr>
          <w:rFonts w:ascii="Times New Roman" w:hAnsi="Times New Roman"/>
          <w:i/>
          <w:lang w:val="en-GB"/>
        </w:rPr>
        <w:t xml:space="preserve"> considerations</w:t>
      </w:r>
      <w:r>
        <w:rPr>
          <w:rFonts w:ascii="Times New Roman" w:hAnsi="Times New Roman"/>
          <w:lang w:val="en-GB"/>
        </w:rPr>
        <w:t xml:space="preserve">, </w:t>
      </w:r>
      <w:r>
        <w:rPr>
          <w:rFonts w:ascii="Times New Roman" w:hAnsi="Times New Roman"/>
          <w:lang w:val="fr-FR"/>
        </w:rPr>
        <w:t xml:space="preserve">Les tablettes á écrire de l'antiquité á l’époque moderne,  Actes du Colloque </w:t>
      </w:r>
      <w:proofErr w:type="spellStart"/>
      <w:r>
        <w:rPr>
          <w:rFonts w:ascii="Times New Roman" w:hAnsi="Times New Roman"/>
          <w:lang w:val="fr-FR"/>
        </w:rPr>
        <w:t>intern</w:t>
      </w:r>
      <w:proofErr w:type="spellEnd"/>
      <w:r>
        <w:rPr>
          <w:rFonts w:ascii="Times New Roman" w:hAnsi="Times New Roman"/>
          <w:lang w:val="fr-FR"/>
        </w:rPr>
        <w:t xml:space="preserve">.  du CNRS (Paris,  1990),  </w:t>
      </w:r>
      <w:proofErr w:type="spellStart"/>
      <w:r>
        <w:rPr>
          <w:rFonts w:ascii="Times New Roman" w:hAnsi="Times New Roman"/>
          <w:lang w:val="fr-FR"/>
        </w:rPr>
        <w:t>Brepols</w:t>
      </w:r>
      <w:proofErr w:type="spellEnd"/>
      <w:r>
        <w:rPr>
          <w:rFonts w:ascii="Times New Roman" w:hAnsi="Times New Roman"/>
          <w:lang w:val="fr-FR"/>
        </w:rPr>
        <w:t xml:space="preserve">  -  Turnhout, 1992</w:t>
      </w:r>
      <w:r w:rsidRPr="00393665">
        <w:rPr>
          <w:rFonts w:ascii="Times New Roman" w:hAnsi="Times New Roman"/>
        </w:rPr>
        <w:t>, pp. 127 ss.</w:t>
      </w:r>
    </w:p>
  </w:footnote>
  <w:footnote w:id="8">
    <w:p w:rsidR="002E0AAC" w:rsidRPr="00655E26" w:rsidRDefault="002E0AAC">
      <w:pPr>
        <w:pStyle w:val="Testonotaapidipagina"/>
        <w:rPr>
          <w:rFonts w:ascii="Times New Roman" w:hAnsi="Times New Roman"/>
        </w:rPr>
      </w:pPr>
      <w:r>
        <w:rPr>
          <w:rStyle w:val="Rimandonotaapidipagina"/>
        </w:rPr>
        <w:footnoteRef/>
      </w:r>
      <w:r>
        <w:t xml:space="preserve"> </w:t>
      </w:r>
      <w:r>
        <w:rPr>
          <w:rFonts w:ascii="Times New Roman" w:hAnsi="Times New Roman"/>
        </w:rPr>
        <w:t xml:space="preserve">G. Cavallo, </w:t>
      </w:r>
      <w:r>
        <w:rPr>
          <w:rFonts w:ascii="Times New Roman" w:hAnsi="Times New Roman"/>
          <w:i/>
        </w:rPr>
        <w:t>Codice e storia dei testi greci antichi. Qualche riflessione sulla fase primitiva del fenomeno</w:t>
      </w:r>
      <w:r>
        <w:rPr>
          <w:rFonts w:ascii="Times New Roman" w:hAnsi="Times New Roman"/>
        </w:rPr>
        <w:t>, in Atti del Colloquio del CNRS “</w:t>
      </w:r>
      <w:proofErr w:type="spellStart"/>
      <w:r>
        <w:rPr>
          <w:rFonts w:ascii="Times New Roman" w:hAnsi="Times New Roman"/>
        </w:rPr>
        <w:t>Les</w:t>
      </w:r>
      <w:proofErr w:type="spellEnd"/>
      <w:r>
        <w:rPr>
          <w:rFonts w:ascii="Times New Roman" w:hAnsi="Times New Roman"/>
        </w:rPr>
        <w:t xml:space="preserve">  </w:t>
      </w:r>
      <w:proofErr w:type="spellStart"/>
      <w:r>
        <w:rPr>
          <w:rFonts w:ascii="Times New Roman" w:hAnsi="Times New Roman"/>
        </w:rPr>
        <w:t>débuts</w:t>
      </w:r>
      <w:proofErr w:type="spellEnd"/>
      <w:r>
        <w:rPr>
          <w:rFonts w:ascii="Times New Roman" w:hAnsi="Times New Roman"/>
        </w:rPr>
        <w:t xml:space="preserve">  </w:t>
      </w:r>
      <w:proofErr w:type="spellStart"/>
      <w:r>
        <w:rPr>
          <w:rFonts w:ascii="Times New Roman" w:hAnsi="Times New Roman"/>
        </w:rPr>
        <w:t>du</w:t>
      </w:r>
      <w:proofErr w:type="spellEnd"/>
      <w:r>
        <w:rPr>
          <w:rFonts w:ascii="Times New Roman" w:hAnsi="Times New Roman"/>
        </w:rPr>
        <w:t xml:space="preserve"> </w:t>
      </w:r>
      <w:proofErr w:type="spellStart"/>
      <w:r>
        <w:rPr>
          <w:rFonts w:ascii="Times New Roman" w:hAnsi="Times New Roman"/>
          <w:i/>
        </w:rPr>
        <w:t>codex</w:t>
      </w:r>
      <w:proofErr w:type="spellEnd"/>
      <w:r>
        <w:rPr>
          <w:rFonts w:ascii="Times New Roman" w:hAnsi="Times New Roman"/>
        </w:rPr>
        <w:t>”</w:t>
      </w:r>
      <w:r w:rsidRPr="00CB0F3D">
        <w:rPr>
          <w:rFonts w:ascii="Times New Roman" w:hAnsi="Times New Roman"/>
        </w:rPr>
        <w:t xml:space="preserve"> </w:t>
      </w:r>
      <w:r>
        <w:rPr>
          <w:rFonts w:ascii="Times New Roman" w:hAnsi="Times New Roman"/>
        </w:rPr>
        <w:t xml:space="preserve">(a cura di A. </w:t>
      </w:r>
      <w:proofErr w:type="spellStart"/>
      <w:r>
        <w:rPr>
          <w:rFonts w:ascii="Times New Roman" w:hAnsi="Times New Roman"/>
        </w:rPr>
        <w:t>Blanchard</w:t>
      </w:r>
      <w:proofErr w:type="spellEnd"/>
      <w:r>
        <w:rPr>
          <w:rFonts w:ascii="Times New Roman" w:hAnsi="Times New Roman"/>
        </w:rPr>
        <w:t xml:space="preserve">), </w:t>
      </w:r>
      <w:proofErr w:type="spellStart"/>
      <w:r>
        <w:rPr>
          <w:rFonts w:ascii="Times New Roman" w:hAnsi="Times New Roman"/>
        </w:rPr>
        <w:t>Paris</w:t>
      </w:r>
      <w:proofErr w:type="spellEnd"/>
      <w:r>
        <w:rPr>
          <w:rFonts w:ascii="Times New Roman" w:hAnsi="Times New Roman"/>
        </w:rPr>
        <w:t xml:space="preserve">, 1985, Bibliologia, 9, </w:t>
      </w:r>
      <w:proofErr w:type="spellStart"/>
      <w:r>
        <w:rPr>
          <w:rFonts w:ascii="Times New Roman" w:hAnsi="Times New Roman"/>
        </w:rPr>
        <w:t>Brepols</w:t>
      </w:r>
      <w:proofErr w:type="spellEnd"/>
      <w:r>
        <w:rPr>
          <w:rFonts w:ascii="Times New Roman" w:hAnsi="Times New Roman"/>
        </w:rPr>
        <w:t xml:space="preserve"> - </w:t>
      </w:r>
      <w:proofErr w:type="spellStart"/>
      <w:r>
        <w:rPr>
          <w:rFonts w:ascii="Times New Roman" w:hAnsi="Times New Roman"/>
        </w:rPr>
        <w:t>Turnhout</w:t>
      </w:r>
      <w:proofErr w:type="spellEnd"/>
      <w:r>
        <w:rPr>
          <w:rFonts w:ascii="Times New Roman" w:hAnsi="Times New Roman"/>
        </w:rPr>
        <w:t xml:space="preserve">, 1989, p. 170; F. Roncalli, </w:t>
      </w:r>
      <w:r w:rsidRPr="00CB0F3D">
        <w:rPr>
          <w:rFonts w:ascii="Times New Roman" w:hAnsi="Times New Roman"/>
          <w:i/>
        </w:rPr>
        <w:t>Scrivere etrusco</w:t>
      </w:r>
      <w:r>
        <w:rPr>
          <w:rFonts w:ascii="Times New Roman" w:hAnsi="Times New Roman"/>
          <w:i/>
        </w:rPr>
        <w:t>. Dalla leggenda alla conoscenza. scrittura e letteratura nei massimi documenti della lingua etrusca</w:t>
      </w:r>
      <w:r>
        <w:rPr>
          <w:rFonts w:ascii="Times New Roman" w:hAnsi="Times New Roman"/>
        </w:rPr>
        <w:t xml:space="preserve">, Milano 1985, pp. 22-24.  </w:t>
      </w:r>
    </w:p>
  </w:footnote>
  <w:footnote w:id="9">
    <w:p w:rsidR="002E0AAC" w:rsidRPr="00530C6E" w:rsidRDefault="002E0AAC" w:rsidP="004B6226">
      <w:pPr>
        <w:pStyle w:val="Indirizzomittentebreve"/>
      </w:pPr>
      <w:r>
        <w:rPr>
          <w:rStyle w:val="Rimandonotaapidipagina"/>
        </w:rPr>
        <w:footnoteRef/>
      </w:r>
      <w:r>
        <w:t xml:space="preserve"> </w:t>
      </w:r>
      <w:r w:rsidRPr="00530C6E">
        <w:t xml:space="preserve">Appare dimostrata l’attribuzione ad un periodo molto  antico delle  tavolette  lignee:  nel  relitto  di una nave etrusca nell’isola del Giglio, che risale agli inizi del </w:t>
      </w:r>
      <w:proofErr w:type="spellStart"/>
      <w:r w:rsidRPr="00530C6E">
        <w:t>VI</w:t>
      </w:r>
      <w:proofErr w:type="spellEnd"/>
      <w:r w:rsidRPr="00530C6E">
        <w:t xml:space="preserve"> sec. a.C., è stata ritrovata una tavolet</w:t>
      </w:r>
      <w:r>
        <w:t xml:space="preserve">ta cerata non ancora iscritta </w:t>
      </w:r>
      <w:r w:rsidRPr="00530C6E">
        <w:t xml:space="preserve">ed  anche  in un rilievo etrusco della fine del </w:t>
      </w:r>
      <w:proofErr w:type="spellStart"/>
      <w:r w:rsidRPr="00530C6E">
        <w:t>VI</w:t>
      </w:r>
      <w:proofErr w:type="spellEnd"/>
      <w:r w:rsidRPr="00530C6E">
        <w:t xml:space="preserve">,  inizi del V sec.   a.C.   proveniente  da  Chiusi  e  conservato  nel  Museo Archeologico   di   Palermo  appare  uno  scriba  con  tavolette scrittorie che registra premi assegnati da un governante  assiso in un </w:t>
      </w:r>
      <w:r w:rsidRPr="00530C6E">
        <w:rPr>
          <w:i/>
        </w:rPr>
        <w:t>tribunal</w:t>
      </w:r>
      <w:r w:rsidRPr="00530C6E">
        <w:t xml:space="preserve">.  Come già osservava Plinio “sappiamo da Omero che l’uso delle tavolette per scrivere esisteva  anche  prima  dell’epoca  della guerra  di  Troia”.  Infatti  ad  esse  si  riferisce l’episodio omerico di </w:t>
      </w:r>
      <w:proofErr w:type="spellStart"/>
      <w:r w:rsidRPr="00530C6E">
        <w:t>Preto</w:t>
      </w:r>
      <w:proofErr w:type="spellEnd"/>
      <w:r w:rsidRPr="00530C6E">
        <w:t xml:space="preserve"> che aveva dato a  </w:t>
      </w:r>
      <w:proofErr w:type="spellStart"/>
      <w:r w:rsidRPr="00530C6E">
        <w:t>Bellerofonte</w:t>
      </w:r>
      <w:proofErr w:type="spellEnd"/>
      <w:r w:rsidRPr="00530C6E">
        <w:t xml:space="preserve">  una  “tavoletta ripiegata”   con   segni   costituenti   una  condanna  a  morte dell’ignaro   messaggero.   Alcuni   studiosi   ritengono addirittura   che   i  diversi  episodi  dei  poemi  omerici  si riferiscano a testi staccati redatti su tavolette scrittorie,  e poi variamente composti. Già Erodoto nel V sec.  a.C.  accennava ad informazioni segrete portate in Grecia su tavolette  durante  le guerre persiane,  nascoste al di sotto dello strato cerato.</w:t>
      </w:r>
      <w:r>
        <w:t xml:space="preserve"> Almeno due tavolette</w:t>
      </w:r>
      <w:r w:rsidRPr="00530C6E">
        <w:t xml:space="preserve"> scrittori</w:t>
      </w:r>
      <w:r>
        <w:t>e, una con</w:t>
      </w:r>
      <w:r w:rsidRPr="00530C6E">
        <w:t xml:space="preserve"> cerniere in avorio</w:t>
      </w:r>
      <w:r>
        <w:t>,</w:t>
      </w:r>
      <w:r w:rsidRPr="00530C6E">
        <w:t xml:space="preserve"> si riscontra</w:t>
      </w:r>
      <w:r>
        <w:t>no nel</w:t>
      </w:r>
      <w:r w:rsidRPr="00530C6E">
        <w:t xml:space="preserve">  relitto  del  XIV  sec.  a.C.  di </w:t>
      </w:r>
      <w:proofErr w:type="spellStart"/>
      <w:r w:rsidRPr="00530C6E">
        <w:t>Ulu</w:t>
      </w:r>
      <w:proofErr w:type="spellEnd"/>
      <w:r w:rsidRPr="00530C6E">
        <w:t xml:space="preserve"> </w:t>
      </w:r>
      <w:proofErr w:type="spellStart"/>
      <w:r w:rsidRPr="00530C6E">
        <w:t>Burun</w:t>
      </w:r>
      <w:proofErr w:type="spellEnd"/>
      <w:r>
        <w:t>, in Turchia</w:t>
      </w:r>
      <w:r w:rsidRPr="00530C6E">
        <w:t>.  Altre tavolette cerate in avorio dell’</w:t>
      </w:r>
      <w:proofErr w:type="spellStart"/>
      <w:r w:rsidRPr="00530C6E">
        <w:t>VIII</w:t>
      </w:r>
      <w:proofErr w:type="spellEnd"/>
      <w:r w:rsidRPr="00530C6E">
        <w:t xml:space="preserve"> e VII sec. a.C. </w:t>
      </w:r>
      <w:r>
        <w:t>son</w:t>
      </w:r>
      <w:r w:rsidRPr="00530C6E">
        <w:t xml:space="preserve">o state in  precedenza  ritrovate  in  </w:t>
      </w:r>
      <w:proofErr w:type="spellStart"/>
      <w:r w:rsidRPr="00530C6E">
        <w:t>Assiria</w:t>
      </w:r>
      <w:proofErr w:type="spellEnd"/>
      <w:r w:rsidRPr="00530C6E">
        <w:t xml:space="preserve">; e in   Egitto raffigurazioni   tombali  del  XIV  sec. mostrano  scribi  con tavolette scrittorie nell’atto di registrare le merci sul  punto di essere sbarcate da navi siriane.  </w:t>
      </w:r>
      <w:r>
        <w:t>Anche d</w:t>
      </w:r>
      <w:r w:rsidRPr="00530C6E">
        <w:t xml:space="preserve">ue rilievi </w:t>
      </w:r>
      <w:r>
        <w:t xml:space="preserve">neo-hittiti del IX e VIII sec. </w:t>
      </w:r>
      <w:r w:rsidRPr="00530C6E">
        <w:t xml:space="preserve">sembrano </w:t>
      </w:r>
      <w:r>
        <w:t>convalidare</w:t>
      </w:r>
      <w:r w:rsidRPr="00530C6E">
        <w:t xml:space="preserve"> la presenza di tavolette</w:t>
      </w:r>
      <w:r>
        <w:t xml:space="preserve"> nel vicino Oriente.</w:t>
      </w:r>
      <w:r w:rsidRPr="00530C6E">
        <w:t xml:space="preserve">  Tutto ciò dimostra che l’uso di </w:t>
      </w:r>
      <w:r>
        <w:t>codici</w:t>
      </w:r>
      <w:r w:rsidRPr="00530C6E">
        <w:t xml:space="preserve"> </w:t>
      </w:r>
      <w:r>
        <w:t xml:space="preserve">e </w:t>
      </w:r>
      <w:r w:rsidRPr="00530C6E">
        <w:t>tavolette lignee</w:t>
      </w:r>
      <w:r>
        <w:t xml:space="preserve"> o eburnee</w:t>
      </w:r>
      <w:r w:rsidRPr="00530C6E">
        <w:t xml:space="preserve">, </w:t>
      </w:r>
      <w:r>
        <w:t xml:space="preserve">come l'etrusca tavoletta di </w:t>
      </w:r>
      <w:proofErr w:type="spellStart"/>
      <w:r>
        <w:t>Marsiliana</w:t>
      </w:r>
      <w:proofErr w:type="spellEnd"/>
      <w:r>
        <w:t xml:space="preserve"> d'</w:t>
      </w:r>
      <w:proofErr w:type="spellStart"/>
      <w:r>
        <w:t>Albegna</w:t>
      </w:r>
      <w:proofErr w:type="spellEnd"/>
      <w:r>
        <w:t xml:space="preserve"> del secondo quarto del VII sec. a.C., </w:t>
      </w:r>
      <w:r w:rsidR="00453520" w:rsidRPr="00530C6E">
        <w:t>come  materiale scrittorio</w:t>
      </w:r>
      <w:r w:rsidR="00453520">
        <w:t xml:space="preserve"> </w:t>
      </w:r>
      <w:r w:rsidRPr="00530C6E">
        <w:t xml:space="preserve">soprattutto per testi documentari, fu ben più antico delle  testimonianze  di  III  sec a.C.  di provenienza egiziana </w:t>
      </w:r>
      <w:r>
        <w:t xml:space="preserve">che </w:t>
      </w:r>
      <w:r w:rsidRPr="00530C6E">
        <w:t xml:space="preserve">talvolta </w:t>
      </w:r>
      <w:r>
        <w:t>vengono ricordate, ma soprattutto che</w:t>
      </w:r>
      <w:r w:rsidRPr="00530C6E">
        <w:t xml:space="preserve"> la riluttanza ad ammetter</w:t>
      </w:r>
      <w:r>
        <w:t>n</w:t>
      </w:r>
      <w:r w:rsidRPr="00530C6E">
        <w:t xml:space="preserve">e l’impiego in età assai antica deriva dal  fatto  che  esse sono   state   considerate   tipico   materiale  scrittorio dell’Occidente e,  in questo ambito,  indubbiamente la scrittura ha  avuto una diffusione assai più circoscritta e tarda rispetto all’Oriente. </w:t>
      </w:r>
      <w:r>
        <w:t xml:space="preserve">Cfr. G. Purpura, </w:t>
      </w:r>
      <w:r w:rsidRPr="00FA571A">
        <w:rPr>
          <w:i/>
        </w:rPr>
        <w:t>Diritto, papiri e scrittura</w:t>
      </w:r>
      <w:r>
        <w:t xml:space="preserve">, Torino, 1999, pp. 18 ss. </w:t>
      </w:r>
    </w:p>
  </w:footnote>
  <w:footnote w:id="10">
    <w:p w:rsidR="002E0AAC" w:rsidRDefault="002E0AAC" w:rsidP="004B6226">
      <w:pPr>
        <w:pStyle w:val="Testonormale"/>
        <w:tabs>
          <w:tab w:val="left" w:pos="7655"/>
        </w:tabs>
        <w:ind w:right="425"/>
        <w:rPr>
          <w:rFonts w:ascii="Times New Roman" w:hAnsi="Times New Roman"/>
        </w:rPr>
      </w:pPr>
      <w:r>
        <w:rPr>
          <w:rStyle w:val="Rimandonotaapidipagina"/>
          <w:rFonts w:ascii="Times New Roman" w:hAnsi="Times New Roman"/>
        </w:rPr>
        <w:footnoteRef/>
      </w:r>
      <w:r w:rsidRPr="00530C6E">
        <w:rPr>
          <w:rFonts w:ascii="Times New Roman" w:hAnsi="Times New Roman"/>
        </w:rPr>
        <w:t xml:space="preserve"> Livio,  IV,  7,  12;  IV,  13, 7;  IV, 20, 8;  IV, 23,2. </w:t>
      </w:r>
      <w:r>
        <w:rPr>
          <w:rFonts w:ascii="Times New Roman" w:hAnsi="Times New Roman"/>
        </w:rPr>
        <w:t xml:space="preserve">G. Cavallo, </w:t>
      </w:r>
      <w:r>
        <w:rPr>
          <w:rFonts w:ascii="Times New Roman" w:hAnsi="Times New Roman"/>
          <w:i/>
        </w:rPr>
        <w:t>Libro e cultura scritta</w:t>
      </w:r>
      <w:r>
        <w:rPr>
          <w:rFonts w:ascii="Times New Roman" w:hAnsi="Times New Roman"/>
        </w:rPr>
        <w:t xml:space="preserve">, Storia di Roma, IV,  </w:t>
      </w:r>
      <w:r>
        <w:rPr>
          <w:rFonts w:ascii="Times New Roman" w:hAnsi="Times New Roman"/>
          <w:i/>
        </w:rPr>
        <w:t>Caratteri  e morfologie</w:t>
      </w:r>
      <w:r>
        <w:rPr>
          <w:rFonts w:ascii="Times New Roman" w:hAnsi="Times New Roman"/>
        </w:rPr>
        <w:t xml:space="preserve">, a cura di </w:t>
      </w:r>
      <w:r w:rsidR="00F87CBD">
        <w:rPr>
          <w:rFonts w:ascii="Times New Roman" w:hAnsi="Times New Roman"/>
        </w:rPr>
        <w:t xml:space="preserve">E. </w:t>
      </w:r>
      <w:r>
        <w:rPr>
          <w:rFonts w:ascii="Times New Roman" w:hAnsi="Times New Roman"/>
        </w:rPr>
        <w:t xml:space="preserve">Gabba e </w:t>
      </w:r>
      <w:r w:rsidR="00F87CBD">
        <w:rPr>
          <w:rFonts w:ascii="Times New Roman" w:hAnsi="Times New Roman"/>
        </w:rPr>
        <w:t xml:space="preserve">A. </w:t>
      </w:r>
      <w:r>
        <w:rPr>
          <w:rFonts w:ascii="Times New Roman" w:hAnsi="Times New Roman"/>
        </w:rPr>
        <w:t xml:space="preserve">Schiavone, Torino, 1989, p. 703.  </w:t>
      </w:r>
    </w:p>
  </w:footnote>
  <w:footnote w:id="11">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F. </w:t>
      </w:r>
      <w:proofErr w:type="spellStart"/>
      <w:r>
        <w:rPr>
          <w:rFonts w:ascii="Times New Roman" w:hAnsi="Times New Roman"/>
        </w:rPr>
        <w:t>Serrao</w:t>
      </w:r>
      <w:proofErr w:type="spellEnd"/>
      <w:r>
        <w:rPr>
          <w:rFonts w:ascii="Times New Roman" w:hAnsi="Times New Roman"/>
        </w:rPr>
        <w:t xml:space="preserve">, </w:t>
      </w:r>
      <w:r>
        <w:rPr>
          <w:rFonts w:ascii="Times New Roman" w:hAnsi="Times New Roman"/>
          <w:i/>
        </w:rPr>
        <w:t>Il diritto dalle genti al principato</w:t>
      </w:r>
      <w:r>
        <w:rPr>
          <w:rFonts w:ascii="Times New Roman" w:hAnsi="Times New Roman"/>
        </w:rPr>
        <w:t xml:space="preserve">, </w:t>
      </w:r>
      <w:proofErr w:type="spellStart"/>
      <w:r>
        <w:rPr>
          <w:rFonts w:ascii="Times New Roman" w:hAnsi="Times New Roman"/>
        </w:rPr>
        <w:t>Optima</w:t>
      </w:r>
      <w:proofErr w:type="spellEnd"/>
      <w:r>
        <w:rPr>
          <w:rFonts w:ascii="Times New Roman" w:hAnsi="Times New Roman"/>
        </w:rPr>
        <w:t xml:space="preserve"> </w:t>
      </w:r>
      <w:proofErr w:type="spellStart"/>
      <w:r>
        <w:rPr>
          <w:rFonts w:ascii="Times New Roman" w:hAnsi="Times New Roman"/>
        </w:rPr>
        <w:t>hereditas</w:t>
      </w:r>
      <w:proofErr w:type="spellEnd"/>
      <w:r>
        <w:rPr>
          <w:rFonts w:ascii="Times New Roman" w:hAnsi="Times New Roman"/>
        </w:rPr>
        <w:t>.  Sapienza giuridica romana e conoscenza dell'ecumene, Milano, 1992, p. 56 fig. 20; G. Purpura, Diritto, papiri e scrittura, Torino, 1999, pp. 15 ss.</w:t>
      </w:r>
    </w:p>
  </w:footnote>
  <w:footnote w:id="12">
    <w:p w:rsidR="002E0AAC" w:rsidRPr="004D7EC0" w:rsidRDefault="002E0AAC" w:rsidP="00A12492">
      <w:pPr>
        <w:pStyle w:val="Testonotaapidipagina"/>
        <w:rPr>
          <w:rFonts w:ascii="Times New Roman" w:hAnsi="Times New Roman"/>
        </w:rPr>
      </w:pPr>
      <w:r>
        <w:rPr>
          <w:rStyle w:val="Rimandonotaapidipagina"/>
        </w:rPr>
        <w:footnoteRef/>
      </w:r>
      <w:r>
        <w:t xml:space="preserve"> </w:t>
      </w:r>
      <w:proofErr w:type="spellStart"/>
      <w:r>
        <w:rPr>
          <w:rFonts w:ascii="Times New Roman" w:hAnsi="Times New Roman"/>
        </w:rPr>
        <w:t>C.Th</w:t>
      </w:r>
      <w:proofErr w:type="spellEnd"/>
      <w:r>
        <w:rPr>
          <w:rFonts w:ascii="Times New Roman" w:hAnsi="Times New Roman"/>
        </w:rPr>
        <w:t>. 11, 27, 1.</w:t>
      </w:r>
    </w:p>
  </w:footnote>
  <w:footnote w:id="13">
    <w:p w:rsidR="002E0AAC" w:rsidRDefault="002E0AAC" w:rsidP="00A12492">
      <w:pPr>
        <w:pStyle w:val="Testonotaapidipagina"/>
      </w:pPr>
      <w:r>
        <w:rPr>
          <w:rStyle w:val="Rimandonotaapidipagina"/>
        </w:rPr>
        <w:footnoteRef/>
      </w:r>
      <w:r>
        <w:t xml:space="preserve"> </w:t>
      </w:r>
      <w:r w:rsidRPr="00572B3F">
        <w:rPr>
          <w:rFonts w:ascii="Times New Roman" w:hAnsi="Times New Roman"/>
        </w:rPr>
        <w:t xml:space="preserve">Il frammento si trova ora al Museo di Napoli. </w:t>
      </w:r>
      <w:proofErr w:type="spellStart"/>
      <w:r w:rsidRPr="00572B3F">
        <w:rPr>
          <w:rFonts w:ascii="Times New Roman" w:hAnsi="Times New Roman"/>
        </w:rPr>
        <w:t>Vd</w:t>
      </w:r>
      <w:proofErr w:type="spellEnd"/>
      <w:r w:rsidRPr="00572B3F">
        <w:rPr>
          <w:rFonts w:ascii="Times New Roman" w:hAnsi="Times New Roman"/>
        </w:rPr>
        <w:t xml:space="preserve">. </w:t>
      </w:r>
      <w:r w:rsidRPr="00572B3F">
        <w:rPr>
          <w:rStyle w:val="Enfasicorsivo"/>
          <w:rFonts w:ascii="Times New Roman" w:hAnsi="Times New Roman"/>
        </w:rPr>
        <w:t>Pompei. Pitture e mosaici</w:t>
      </w:r>
      <w:r w:rsidRPr="00572B3F">
        <w:rPr>
          <w:rFonts w:ascii="Times New Roman" w:hAnsi="Times New Roman"/>
        </w:rPr>
        <w:t>, vol. III, Roma</w:t>
      </w:r>
      <w:r>
        <w:rPr>
          <w:rFonts w:ascii="Times New Roman" w:hAnsi="Times New Roman"/>
        </w:rPr>
        <w:t>,</w:t>
      </w:r>
      <w:r w:rsidRPr="00572B3F">
        <w:rPr>
          <w:rFonts w:ascii="Times New Roman" w:hAnsi="Times New Roman"/>
        </w:rPr>
        <w:t xml:space="preserve"> 1991, pp. 256-257</w:t>
      </w:r>
      <w:r>
        <w:rPr>
          <w:rFonts w:ascii="Times New Roman" w:hAnsi="Times New Roman"/>
        </w:rPr>
        <w:t>.</w:t>
      </w:r>
    </w:p>
  </w:footnote>
  <w:footnote w:id="14">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Ciò non legittima l’esclusione del </w:t>
      </w:r>
      <w:proofErr w:type="spellStart"/>
      <w:r>
        <w:rPr>
          <w:rFonts w:ascii="Times New Roman" w:hAnsi="Times New Roman"/>
          <w:i/>
        </w:rPr>
        <w:t>liber</w:t>
      </w:r>
      <w:proofErr w:type="spellEnd"/>
      <w:r>
        <w:rPr>
          <w:rFonts w:ascii="Times New Roman" w:hAnsi="Times New Roman"/>
        </w:rPr>
        <w:t xml:space="preserve"> </w:t>
      </w:r>
      <w:proofErr w:type="spellStart"/>
      <w:r>
        <w:rPr>
          <w:rFonts w:ascii="Times New Roman" w:hAnsi="Times New Roman"/>
          <w:i/>
        </w:rPr>
        <w:t>linteus</w:t>
      </w:r>
      <w:proofErr w:type="spellEnd"/>
      <w:r>
        <w:rPr>
          <w:rFonts w:ascii="Times New Roman" w:hAnsi="Times New Roman"/>
        </w:rPr>
        <w:t xml:space="preserve"> dalla storia del codice o delle tavolette ‘a soffietto’,  come proposto da J. </w:t>
      </w:r>
      <w:proofErr w:type="spellStart"/>
      <w:r>
        <w:rPr>
          <w:rFonts w:ascii="Times New Roman" w:hAnsi="Times New Roman"/>
        </w:rPr>
        <w:t>van</w:t>
      </w:r>
      <w:proofErr w:type="spellEnd"/>
      <w:r>
        <w:rPr>
          <w:rFonts w:ascii="Times New Roman" w:hAnsi="Times New Roman"/>
        </w:rPr>
        <w:t xml:space="preserve"> </w:t>
      </w:r>
      <w:proofErr w:type="spellStart"/>
      <w:r>
        <w:rPr>
          <w:rFonts w:ascii="Times New Roman" w:hAnsi="Times New Roman"/>
        </w:rPr>
        <w:t>Haelst</w:t>
      </w:r>
      <w:proofErr w:type="spellEnd"/>
      <w:r>
        <w:rPr>
          <w:rFonts w:ascii="Times New Roman" w:hAnsi="Times New Roman"/>
        </w:rPr>
        <w:t xml:space="preserve">, </w:t>
      </w:r>
      <w:proofErr w:type="spellStart"/>
      <w:r>
        <w:rPr>
          <w:rFonts w:ascii="Times New Roman" w:hAnsi="Times New Roman"/>
          <w:i/>
        </w:rPr>
        <w:t>Les</w:t>
      </w:r>
      <w:proofErr w:type="spellEnd"/>
      <w:r>
        <w:rPr>
          <w:rFonts w:ascii="Times New Roman" w:hAnsi="Times New Roman"/>
          <w:i/>
        </w:rPr>
        <w:t xml:space="preserve"> </w:t>
      </w:r>
      <w:proofErr w:type="spellStart"/>
      <w:r>
        <w:rPr>
          <w:rFonts w:ascii="Times New Roman" w:hAnsi="Times New Roman"/>
          <w:i/>
        </w:rPr>
        <w:t>origines</w:t>
      </w:r>
      <w:proofErr w:type="spellEnd"/>
      <w:r>
        <w:rPr>
          <w:rFonts w:ascii="Times New Roman" w:hAnsi="Times New Roman"/>
          <w:i/>
        </w:rPr>
        <w:t xml:space="preserve"> </w:t>
      </w:r>
      <w:proofErr w:type="spellStart"/>
      <w:r>
        <w:rPr>
          <w:rFonts w:ascii="Times New Roman" w:hAnsi="Times New Roman"/>
          <w:i/>
        </w:rPr>
        <w:t>du</w:t>
      </w:r>
      <w:proofErr w:type="spellEnd"/>
      <w:r>
        <w:rPr>
          <w:rFonts w:ascii="Times New Roman" w:hAnsi="Times New Roman"/>
          <w:i/>
        </w:rPr>
        <w:t xml:space="preserve"> </w:t>
      </w:r>
      <w:proofErr w:type="spellStart"/>
      <w:r>
        <w:rPr>
          <w:rFonts w:ascii="Times New Roman" w:hAnsi="Times New Roman"/>
        </w:rPr>
        <w:t>codex</w:t>
      </w:r>
      <w:proofErr w:type="spellEnd"/>
      <w:r>
        <w:rPr>
          <w:rFonts w:ascii="Times New Roman" w:hAnsi="Times New Roman"/>
        </w:rPr>
        <w:t>,  in Atti del Colloquio del CNRS “</w:t>
      </w:r>
      <w:proofErr w:type="spellStart"/>
      <w:r>
        <w:rPr>
          <w:rFonts w:ascii="Times New Roman" w:hAnsi="Times New Roman"/>
        </w:rPr>
        <w:t>Les</w:t>
      </w:r>
      <w:proofErr w:type="spellEnd"/>
      <w:r>
        <w:rPr>
          <w:rFonts w:ascii="Times New Roman" w:hAnsi="Times New Roman"/>
        </w:rPr>
        <w:t xml:space="preserve">  </w:t>
      </w:r>
      <w:proofErr w:type="spellStart"/>
      <w:r>
        <w:rPr>
          <w:rFonts w:ascii="Times New Roman" w:hAnsi="Times New Roman"/>
        </w:rPr>
        <w:t>débuts</w:t>
      </w:r>
      <w:proofErr w:type="spellEnd"/>
      <w:r>
        <w:rPr>
          <w:rFonts w:ascii="Times New Roman" w:hAnsi="Times New Roman"/>
        </w:rPr>
        <w:t xml:space="preserve">  </w:t>
      </w:r>
      <w:proofErr w:type="spellStart"/>
      <w:r>
        <w:rPr>
          <w:rFonts w:ascii="Times New Roman" w:hAnsi="Times New Roman"/>
        </w:rPr>
        <w:t>du</w:t>
      </w:r>
      <w:proofErr w:type="spellEnd"/>
      <w:r>
        <w:rPr>
          <w:rFonts w:ascii="Times New Roman" w:hAnsi="Times New Roman"/>
        </w:rPr>
        <w:t xml:space="preserve"> </w:t>
      </w:r>
      <w:proofErr w:type="spellStart"/>
      <w:r>
        <w:rPr>
          <w:rFonts w:ascii="Times New Roman" w:hAnsi="Times New Roman"/>
          <w:i/>
        </w:rPr>
        <w:t>codex</w:t>
      </w:r>
      <w:proofErr w:type="spellEnd"/>
      <w:r>
        <w:rPr>
          <w:rFonts w:ascii="Times New Roman" w:hAnsi="Times New Roman"/>
        </w:rPr>
        <w:t xml:space="preserve">”, </w:t>
      </w:r>
      <w:proofErr w:type="spellStart"/>
      <w:r>
        <w:rPr>
          <w:rFonts w:ascii="Times New Roman" w:hAnsi="Times New Roman"/>
        </w:rPr>
        <w:t>Paris</w:t>
      </w:r>
      <w:proofErr w:type="spellEnd"/>
      <w:r>
        <w:rPr>
          <w:rFonts w:ascii="Times New Roman" w:hAnsi="Times New Roman"/>
        </w:rPr>
        <w:t xml:space="preserve">, 1985, Bibliologia, 9, </w:t>
      </w:r>
      <w:proofErr w:type="spellStart"/>
      <w:r>
        <w:rPr>
          <w:rFonts w:ascii="Times New Roman" w:hAnsi="Times New Roman"/>
        </w:rPr>
        <w:t>Brepols</w:t>
      </w:r>
      <w:proofErr w:type="spellEnd"/>
      <w:r>
        <w:rPr>
          <w:rFonts w:ascii="Times New Roman" w:hAnsi="Times New Roman"/>
        </w:rPr>
        <w:t xml:space="preserve"> - </w:t>
      </w:r>
      <w:proofErr w:type="spellStart"/>
      <w:r>
        <w:rPr>
          <w:rFonts w:ascii="Times New Roman" w:hAnsi="Times New Roman"/>
        </w:rPr>
        <w:t>Turnhout</w:t>
      </w:r>
      <w:proofErr w:type="spellEnd"/>
      <w:r>
        <w:rPr>
          <w:rFonts w:ascii="Times New Roman" w:hAnsi="Times New Roman"/>
        </w:rPr>
        <w:t xml:space="preserve">, 1989, p. 15, in base alla considerazione che tali strutture non consentono “une </w:t>
      </w:r>
      <w:proofErr w:type="spellStart"/>
      <w:r>
        <w:rPr>
          <w:rFonts w:ascii="Times New Roman" w:hAnsi="Times New Roman"/>
        </w:rPr>
        <w:t>écriture</w:t>
      </w:r>
      <w:proofErr w:type="spellEnd"/>
      <w:r>
        <w:rPr>
          <w:rFonts w:ascii="Times New Roman" w:hAnsi="Times New Roman"/>
        </w:rPr>
        <w:t xml:space="preserve"> </w:t>
      </w:r>
      <w:proofErr w:type="spellStart"/>
      <w:r>
        <w:rPr>
          <w:rFonts w:ascii="Times New Roman" w:hAnsi="Times New Roman"/>
        </w:rPr>
        <w:t>suivie</w:t>
      </w:r>
      <w:proofErr w:type="spellEnd"/>
      <w:r>
        <w:rPr>
          <w:rFonts w:ascii="Times New Roman" w:hAnsi="Times New Roman"/>
        </w:rPr>
        <w:t xml:space="preserve"> </w:t>
      </w:r>
      <w:proofErr w:type="spellStart"/>
      <w:r>
        <w:rPr>
          <w:rFonts w:ascii="Times New Roman" w:hAnsi="Times New Roman"/>
        </w:rPr>
        <w:t>sur</w:t>
      </w:r>
      <w:proofErr w:type="spellEnd"/>
      <w:r>
        <w:rPr>
          <w:rFonts w:ascii="Times New Roman" w:hAnsi="Times New Roman"/>
        </w:rPr>
        <w:t xml:space="preserve"> </w:t>
      </w:r>
      <w:proofErr w:type="spellStart"/>
      <w:r>
        <w:rPr>
          <w:rFonts w:ascii="Times New Roman" w:hAnsi="Times New Roman"/>
        </w:rPr>
        <w:t>les</w:t>
      </w:r>
      <w:proofErr w:type="spellEnd"/>
      <w:r>
        <w:rPr>
          <w:rFonts w:ascii="Times New Roman" w:hAnsi="Times New Roman"/>
        </w:rPr>
        <w:t xml:space="preserve"> </w:t>
      </w:r>
      <w:proofErr w:type="spellStart"/>
      <w:r>
        <w:rPr>
          <w:rFonts w:ascii="Times New Roman" w:hAnsi="Times New Roman"/>
        </w:rPr>
        <w:t>deux</w:t>
      </w:r>
      <w:proofErr w:type="spellEnd"/>
      <w:r>
        <w:rPr>
          <w:rFonts w:ascii="Times New Roman" w:hAnsi="Times New Roman"/>
        </w:rPr>
        <w:t xml:space="preserve"> </w:t>
      </w:r>
      <w:proofErr w:type="spellStart"/>
      <w:r>
        <w:rPr>
          <w:rFonts w:ascii="Times New Roman" w:hAnsi="Times New Roman"/>
        </w:rPr>
        <w:t>faces</w:t>
      </w:r>
      <w:proofErr w:type="spellEnd"/>
      <w:r>
        <w:rPr>
          <w:rFonts w:ascii="Times New Roman" w:hAnsi="Times New Roman"/>
        </w:rPr>
        <w:t xml:space="preserve"> de </w:t>
      </w:r>
      <w:proofErr w:type="spellStart"/>
      <w:r>
        <w:rPr>
          <w:rFonts w:ascii="Times New Roman" w:hAnsi="Times New Roman"/>
        </w:rPr>
        <w:t>chaque</w:t>
      </w:r>
      <w:proofErr w:type="spellEnd"/>
      <w:r>
        <w:rPr>
          <w:rFonts w:ascii="Times New Roman" w:hAnsi="Times New Roman"/>
        </w:rPr>
        <w:t xml:space="preserve"> </w:t>
      </w:r>
      <w:proofErr w:type="spellStart"/>
      <w:r>
        <w:rPr>
          <w:rFonts w:ascii="Times New Roman" w:hAnsi="Times New Roman"/>
        </w:rPr>
        <w:t>volet</w:t>
      </w:r>
      <w:proofErr w:type="spellEnd"/>
      <w:r>
        <w:rPr>
          <w:rFonts w:ascii="Times New Roman" w:hAnsi="Times New Roman"/>
        </w:rPr>
        <w:t xml:space="preserve"> </w:t>
      </w:r>
      <w:proofErr w:type="spellStart"/>
      <w:r>
        <w:rPr>
          <w:rFonts w:ascii="Times New Roman" w:hAnsi="Times New Roman"/>
        </w:rPr>
        <w:t>du</w:t>
      </w:r>
      <w:proofErr w:type="spellEnd"/>
      <w:r>
        <w:rPr>
          <w:rFonts w:ascii="Times New Roman" w:hAnsi="Times New Roman"/>
        </w:rPr>
        <w:t xml:space="preserve"> </w:t>
      </w:r>
      <w:proofErr w:type="spellStart"/>
      <w:r>
        <w:rPr>
          <w:rFonts w:ascii="Times New Roman" w:hAnsi="Times New Roman"/>
        </w:rPr>
        <w:t>dyptyque</w:t>
      </w:r>
      <w:proofErr w:type="spellEnd"/>
      <w:r>
        <w:rPr>
          <w:rFonts w:ascii="Times New Roman" w:hAnsi="Times New Roman"/>
        </w:rPr>
        <w:t xml:space="preserve">, </w:t>
      </w:r>
      <w:proofErr w:type="spellStart"/>
      <w:r>
        <w:rPr>
          <w:rFonts w:ascii="Times New Roman" w:hAnsi="Times New Roman"/>
        </w:rPr>
        <w:t>laquelle</w:t>
      </w:r>
      <w:proofErr w:type="spellEnd"/>
      <w:r>
        <w:rPr>
          <w:rFonts w:ascii="Times New Roman" w:hAnsi="Times New Roman"/>
        </w:rPr>
        <w:t xml:space="preserve"> est une </w:t>
      </w:r>
      <w:proofErr w:type="spellStart"/>
      <w:r>
        <w:rPr>
          <w:rFonts w:ascii="Times New Roman" w:hAnsi="Times New Roman"/>
        </w:rPr>
        <w:t>caractéristique</w:t>
      </w:r>
      <w:proofErr w:type="spellEnd"/>
      <w:r>
        <w:rPr>
          <w:rFonts w:ascii="Times New Roman" w:hAnsi="Times New Roman"/>
        </w:rPr>
        <w:t xml:space="preserve"> </w:t>
      </w:r>
      <w:proofErr w:type="spellStart"/>
      <w:r>
        <w:rPr>
          <w:rFonts w:ascii="Times New Roman" w:hAnsi="Times New Roman"/>
        </w:rPr>
        <w:t>essentielle</w:t>
      </w:r>
      <w:proofErr w:type="spellEnd"/>
      <w:r>
        <w:rPr>
          <w:rFonts w:ascii="Times New Roman" w:hAnsi="Times New Roman"/>
        </w:rPr>
        <w:t xml:space="preserve"> </w:t>
      </w:r>
      <w:proofErr w:type="spellStart"/>
      <w:r>
        <w:rPr>
          <w:rFonts w:ascii="Times New Roman" w:hAnsi="Times New Roman"/>
        </w:rPr>
        <w:t>du</w:t>
      </w:r>
      <w:proofErr w:type="spellEnd"/>
      <w:r>
        <w:rPr>
          <w:rFonts w:ascii="Times New Roman" w:hAnsi="Times New Roman"/>
        </w:rPr>
        <w:t xml:space="preserve"> </w:t>
      </w:r>
      <w:proofErr w:type="spellStart"/>
      <w:r>
        <w:rPr>
          <w:rFonts w:ascii="Times New Roman" w:hAnsi="Times New Roman"/>
        </w:rPr>
        <w:t>codex</w:t>
      </w:r>
      <w:proofErr w:type="spellEnd"/>
      <w:r>
        <w:rPr>
          <w:rFonts w:ascii="Times New Roman" w:hAnsi="Times New Roman"/>
        </w:rPr>
        <w:t>”. Tuttavia ciò che a mio avviso rileva è l’antica familiarità con un formato che, seppur presentava pagine doppie, consentiva di essere sfogliato con una sola mano e di reperire immediatamente il brano ricercato.</w:t>
      </w:r>
    </w:p>
  </w:footnote>
  <w:footnote w:id="15">
    <w:p w:rsidR="002E0AAC" w:rsidRDefault="002E0AAC" w:rsidP="00A12492">
      <w:pPr>
        <w:pStyle w:val="Testonormale"/>
        <w:ind w:right="425"/>
        <w:rPr>
          <w:rFonts w:ascii="Times New Roman" w:hAnsi="Times New Roman"/>
          <w:i/>
          <w:lang w:val="en-GB"/>
        </w:rPr>
      </w:pPr>
      <w:r>
        <w:rPr>
          <w:rStyle w:val="Rimandonotaapidipagina"/>
          <w:rFonts w:ascii="Times New Roman" w:hAnsi="Times New Roman"/>
        </w:rPr>
        <w:footnoteRef/>
      </w:r>
      <w:r w:rsidRPr="00D47EED">
        <w:rPr>
          <w:rFonts w:ascii="Times New Roman" w:hAnsi="Times New Roman"/>
        </w:rPr>
        <w:t xml:space="preserve"> </w:t>
      </w:r>
      <w:proofErr w:type="spellStart"/>
      <w:r w:rsidRPr="00D47EED">
        <w:rPr>
          <w:rFonts w:ascii="Times New Roman" w:hAnsi="Times New Roman"/>
        </w:rPr>
        <w:t>A.K.</w:t>
      </w:r>
      <w:proofErr w:type="spellEnd"/>
      <w:r w:rsidRPr="00D47EED">
        <w:rPr>
          <w:rFonts w:ascii="Times New Roman" w:hAnsi="Times New Roman"/>
        </w:rPr>
        <w:t xml:space="preserve"> </w:t>
      </w:r>
      <w:proofErr w:type="spellStart"/>
      <w:r w:rsidRPr="00D47EED">
        <w:rPr>
          <w:rFonts w:ascii="Times New Roman" w:hAnsi="Times New Roman"/>
        </w:rPr>
        <w:t>Bowman</w:t>
      </w:r>
      <w:proofErr w:type="spellEnd"/>
      <w:r w:rsidRPr="00D47EED">
        <w:rPr>
          <w:rFonts w:ascii="Times New Roman" w:hAnsi="Times New Roman"/>
        </w:rPr>
        <w:t xml:space="preserve">, </w:t>
      </w:r>
      <w:proofErr w:type="spellStart"/>
      <w:r w:rsidRPr="00D47EED">
        <w:rPr>
          <w:rFonts w:ascii="Times New Roman" w:hAnsi="Times New Roman"/>
        </w:rPr>
        <w:t>J.D.</w:t>
      </w:r>
      <w:proofErr w:type="spellEnd"/>
      <w:r w:rsidRPr="00D47EED">
        <w:rPr>
          <w:rFonts w:ascii="Times New Roman" w:hAnsi="Times New Roman"/>
        </w:rPr>
        <w:t xml:space="preserve"> Thomas, </w:t>
      </w:r>
      <w:r w:rsidRPr="00D47EED">
        <w:rPr>
          <w:rFonts w:ascii="Times New Roman" w:hAnsi="Times New Roman"/>
          <w:i/>
        </w:rPr>
        <w:t xml:space="preserve">The </w:t>
      </w:r>
      <w:proofErr w:type="spellStart"/>
      <w:r w:rsidRPr="00D47EED">
        <w:rPr>
          <w:rFonts w:ascii="Times New Roman" w:hAnsi="Times New Roman"/>
          <w:i/>
        </w:rPr>
        <w:t>Vindolanda</w:t>
      </w:r>
      <w:proofErr w:type="spellEnd"/>
      <w:r w:rsidRPr="00D47EED">
        <w:rPr>
          <w:rFonts w:ascii="Times New Roman" w:hAnsi="Times New Roman"/>
          <w:i/>
        </w:rPr>
        <w:t xml:space="preserve"> </w:t>
      </w:r>
      <w:proofErr w:type="spellStart"/>
      <w:r w:rsidRPr="00D47EED">
        <w:rPr>
          <w:rFonts w:ascii="Times New Roman" w:hAnsi="Times New Roman"/>
          <w:i/>
        </w:rPr>
        <w:t>writing</w:t>
      </w:r>
      <w:proofErr w:type="spellEnd"/>
      <w:r w:rsidRPr="00D47EED">
        <w:rPr>
          <w:rFonts w:ascii="Times New Roman" w:hAnsi="Times New Roman"/>
          <w:i/>
        </w:rPr>
        <w:t xml:space="preserve"> </w:t>
      </w:r>
      <w:proofErr w:type="spellStart"/>
      <w:r w:rsidRPr="00D47EED">
        <w:rPr>
          <w:rFonts w:ascii="Times New Roman" w:hAnsi="Times New Roman"/>
        </w:rPr>
        <w:t>tablets</w:t>
      </w:r>
      <w:proofErr w:type="spellEnd"/>
      <w:r w:rsidRPr="00D47EED">
        <w:rPr>
          <w:rFonts w:ascii="Times New Roman" w:hAnsi="Times New Roman"/>
        </w:rPr>
        <w:t xml:space="preserve">, </w:t>
      </w:r>
      <w:proofErr w:type="spellStart"/>
      <w:r w:rsidRPr="00D47EED">
        <w:rPr>
          <w:rFonts w:ascii="Times New Roman" w:hAnsi="Times New Roman"/>
        </w:rPr>
        <w:t>Londres</w:t>
      </w:r>
      <w:proofErr w:type="spellEnd"/>
      <w:r w:rsidRPr="00D47EED">
        <w:rPr>
          <w:rFonts w:ascii="Times New Roman" w:hAnsi="Times New Roman"/>
        </w:rPr>
        <w:t xml:space="preserve">, 1974; R. </w:t>
      </w:r>
      <w:proofErr w:type="spellStart"/>
      <w:r w:rsidRPr="00D47EED">
        <w:rPr>
          <w:rFonts w:ascii="Times New Roman" w:hAnsi="Times New Roman"/>
        </w:rPr>
        <w:t>Marichal</w:t>
      </w:r>
      <w:proofErr w:type="spellEnd"/>
      <w:r w:rsidRPr="00D47EED">
        <w:rPr>
          <w:rFonts w:ascii="Times New Roman" w:hAnsi="Times New Roman"/>
        </w:rPr>
        <w:t xml:space="preserve">, </w:t>
      </w:r>
      <w:proofErr w:type="spellStart"/>
      <w:r w:rsidRPr="00D47EED">
        <w:rPr>
          <w:rFonts w:ascii="Times New Roman" w:hAnsi="Times New Roman"/>
          <w:i/>
        </w:rPr>
        <w:t>Découverte</w:t>
      </w:r>
      <w:proofErr w:type="spellEnd"/>
      <w:r w:rsidRPr="00D47EED">
        <w:rPr>
          <w:rFonts w:ascii="Times New Roman" w:hAnsi="Times New Roman"/>
          <w:i/>
        </w:rPr>
        <w:t xml:space="preserve"> de </w:t>
      </w:r>
      <w:proofErr w:type="spellStart"/>
      <w:r w:rsidRPr="00D47EED">
        <w:rPr>
          <w:rFonts w:ascii="Times New Roman" w:hAnsi="Times New Roman"/>
          <w:i/>
        </w:rPr>
        <w:t>tablettes</w:t>
      </w:r>
      <w:proofErr w:type="spellEnd"/>
      <w:r w:rsidRPr="00D47EED">
        <w:rPr>
          <w:rFonts w:ascii="Times New Roman" w:hAnsi="Times New Roman"/>
          <w:i/>
        </w:rPr>
        <w:t xml:space="preserve"> de </w:t>
      </w:r>
      <w:proofErr w:type="spellStart"/>
      <w:r w:rsidRPr="00D47EED">
        <w:rPr>
          <w:rFonts w:ascii="Times New Roman" w:hAnsi="Times New Roman"/>
          <w:i/>
        </w:rPr>
        <w:t>bois</w:t>
      </w:r>
      <w:proofErr w:type="spellEnd"/>
      <w:r w:rsidRPr="00D47EED">
        <w:rPr>
          <w:rFonts w:ascii="Times New Roman" w:hAnsi="Times New Roman"/>
          <w:i/>
        </w:rPr>
        <w:t xml:space="preserve"> </w:t>
      </w:r>
      <w:proofErr w:type="spellStart"/>
      <w:r w:rsidRPr="00D47EED">
        <w:rPr>
          <w:rFonts w:ascii="Times New Roman" w:hAnsi="Times New Roman"/>
          <w:i/>
        </w:rPr>
        <w:t>écrites</w:t>
      </w:r>
      <w:proofErr w:type="spellEnd"/>
      <w:r w:rsidRPr="00D47EED">
        <w:rPr>
          <w:rFonts w:ascii="Times New Roman" w:hAnsi="Times New Roman"/>
          <w:i/>
        </w:rPr>
        <w:t xml:space="preserve"> à l’</w:t>
      </w:r>
      <w:proofErr w:type="spellStart"/>
      <w:r w:rsidRPr="00D47EED">
        <w:rPr>
          <w:rFonts w:ascii="Times New Roman" w:hAnsi="Times New Roman"/>
          <w:i/>
        </w:rPr>
        <w:t>encre</w:t>
      </w:r>
      <w:proofErr w:type="spellEnd"/>
      <w:r w:rsidRPr="00D47EED">
        <w:rPr>
          <w:rFonts w:ascii="Times New Roman" w:hAnsi="Times New Roman"/>
          <w:i/>
        </w:rPr>
        <w:t xml:space="preserve"> à </w:t>
      </w:r>
      <w:proofErr w:type="spellStart"/>
      <w:r w:rsidRPr="00D47EED">
        <w:rPr>
          <w:rFonts w:ascii="Times New Roman" w:hAnsi="Times New Roman"/>
          <w:i/>
        </w:rPr>
        <w:t>Vindolanda</w:t>
      </w:r>
      <w:proofErr w:type="spellEnd"/>
      <w:r w:rsidRPr="00D47EED">
        <w:rPr>
          <w:rFonts w:ascii="Times New Roman" w:hAnsi="Times New Roman"/>
          <w:i/>
        </w:rPr>
        <w:t xml:space="preserve"> (</w:t>
      </w:r>
      <w:proofErr w:type="spellStart"/>
      <w:r w:rsidRPr="00D47EED">
        <w:rPr>
          <w:rFonts w:ascii="Times New Roman" w:hAnsi="Times New Roman"/>
          <w:i/>
        </w:rPr>
        <w:t>Northumberland</w:t>
      </w:r>
      <w:proofErr w:type="spellEnd"/>
      <w:r w:rsidRPr="00D47EED">
        <w:rPr>
          <w:rFonts w:ascii="Times New Roman" w:hAnsi="Times New Roman"/>
          <w:i/>
        </w:rPr>
        <w:t>)</w:t>
      </w:r>
      <w:r w:rsidRPr="00D47EED">
        <w:rPr>
          <w:rFonts w:ascii="Times New Roman" w:hAnsi="Times New Roman"/>
        </w:rPr>
        <w:t xml:space="preserve">, </w:t>
      </w:r>
      <w:proofErr w:type="spellStart"/>
      <w:r w:rsidRPr="00D47EED">
        <w:rPr>
          <w:rFonts w:ascii="Times New Roman" w:hAnsi="Times New Roman"/>
        </w:rPr>
        <w:t>Journ</w:t>
      </w:r>
      <w:proofErr w:type="spellEnd"/>
      <w:r w:rsidRPr="00D47EED">
        <w:rPr>
          <w:rFonts w:ascii="Times New Roman" w:hAnsi="Times New Roman"/>
        </w:rPr>
        <w:t xml:space="preserve">. </w:t>
      </w:r>
      <w:proofErr w:type="spellStart"/>
      <w:r w:rsidRPr="00D47EED">
        <w:rPr>
          <w:rFonts w:ascii="Times New Roman" w:hAnsi="Times New Roman"/>
        </w:rPr>
        <w:t>des</w:t>
      </w:r>
      <w:proofErr w:type="spellEnd"/>
      <w:r w:rsidRPr="00D47EED">
        <w:rPr>
          <w:rFonts w:ascii="Times New Roman" w:hAnsi="Times New Roman"/>
        </w:rPr>
        <w:t xml:space="preserve"> </w:t>
      </w:r>
      <w:proofErr w:type="spellStart"/>
      <w:r w:rsidRPr="00D47EED">
        <w:rPr>
          <w:rFonts w:ascii="Times New Roman" w:hAnsi="Times New Roman"/>
        </w:rPr>
        <w:t>Savants</w:t>
      </w:r>
      <w:proofErr w:type="spellEnd"/>
      <w:r w:rsidRPr="00D47EED">
        <w:rPr>
          <w:rFonts w:ascii="Times New Roman" w:hAnsi="Times New Roman"/>
        </w:rPr>
        <w:t>, 1975, pp. 1</w:t>
      </w:r>
      <w:r>
        <w:rPr>
          <w:rFonts w:ascii="Times New Roman" w:hAnsi="Times New Roman"/>
        </w:rPr>
        <w:t xml:space="preserve">13-120; R. </w:t>
      </w:r>
      <w:proofErr w:type="spellStart"/>
      <w:r>
        <w:rPr>
          <w:rFonts w:ascii="Times New Roman" w:hAnsi="Times New Roman"/>
        </w:rPr>
        <w:t>Birley</w:t>
      </w:r>
      <w:proofErr w:type="spellEnd"/>
      <w:r>
        <w:rPr>
          <w:rFonts w:ascii="Times New Roman" w:hAnsi="Times New Roman"/>
          <w:i/>
        </w:rPr>
        <w:t>,  Un posto di frontiera nella Britannia  romana</w:t>
      </w:r>
      <w:r>
        <w:rPr>
          <w:rFonts w:ascii="Times New Roman" w:hAnsi="Times New Roman"/>
        </w:rPr>
        <w:t xml:space="preserve">, Le scienze, 106, giugno, 1977, (= Letture da Le Scienze, L'Antico Mediterraneo,   Milano,   1983,  pp.209  -  216);  </w:t>
      </w:r>
      <w:proofErr w:type="spellStart"/>
      <w:r w:rsidRPr="00D47EED">
        <w:rPr>
          <w:rFonts w:ascii="Times New Roman" w:hAnsi="Times New Roman"/>
        </w:rPr>
        <w:t>A.K.</w:t>
      </w:r>
      <w:proofErr w:type="spellEnd"/>
      <w:r w:rsidRPr="00D47EED">
        <w:rPr>
          <w:rFonts w:ascii="Times New Roman" w:hAnsi="Times New Roman"/>
        </w:rPr>
        <w:t xml:space="preserve"> </w:t>
      </w:r>
      <w:r>
        <w:rPr>
          <w:rFonts w:ascii="Times New Roman" w:hAnsi="Times New Roman"/>
        </w:rPr>
        <w:t xml:space="preserve"> </w:t>
      </w:r>
      <w:r w:rsidRPr="00D47EED">
        <w:rPr>
          <w:rFonts w:ascii="Times New Roman" w:hAnsi="Times New Roman"/>
          <w:lang w:val="en-US"/>
        </w:rPr>
        <w:t>Bowman</w:t>
      </w:r>
      <w:r w:rsidRPr="00D47EED">
        <w:rPr>
          <w:rFonts w:ascii="Times New Roman" w:hAnsi="Times New Roman"/>
          <w:i/>
          <w:lang w:val="en-US"/>
        </w:rPr>
        <w:t xml:space="preserve">,  The </w:t>
      </w:r>
      <w:proofErr w:type="spellStart"/>
      <w:r w:rsidRPr="00D47EED">
        <w:rPr>
          <w:rFonts w:ascii="Times New Roman" w:hAnsi="Times New Roman"/>
          <w:i/>
          <w:lang w:val="en-US"/>
        </w:rPr>
        <w:t>Vindolanda</w:t>
      </w:r>
      <w:proofErr w:type="spellEnd"/>
      <w:r w:rsidRPr="00D47EED">
        <w:rPr>
          <w:rFonts w:ascii="Times New Roman" w:hAnsi="Times New Roman"/>
          <w:i/>
          <w:lang w:val="en-US"/>
        </w:rPr>
        <w:t xml:space="preserve"> writing tablets and the  development  of  roman  book form,</w:t>
      </w:r>
      <w:r w:rsidRPr="00D47EED">
        <w:rPr>
          <w:rFonts w:ascii="Times New Roman" w:hAnsi="Times New Roman"/>
          <w:lang w:val="en-US"/>
        </w:rPr>
        <w:t xml:space="preserve"> ZPE, 18, 1975, pp.  </w:t>
      </w:r>
      <w:r>
        <w:rPr>
          <w:rFonts w:ascii="Times New Roman" w:hAnsi="Times New Roman"/>
          <w:lang w:val="en-GB"/>
        </w:rPr>
        <w:t xml:space="preserve">237 - 252; </w:t>
      </w:r>
      <w:r w:rsidRPr="00D47EED">
        <w:rPr>
          <w:rFonts w:ascii="Times New Roman" w:hAnsi="Times New Roman"/>
          <w:lang w:val="en-US"/>
        </w:rPr>
        <w:t xml:space="preserve">A.K. </w:t>
      </w:r>
      <w:r>
        <w:rPr>
          <w:rFonts w:ascii="Times New Roman" w:hAnsi="Times New Roman"/>
          <w:lang w:val="en-GB"/>
        </w:rPr>
        <w:t xml:space="preserve">Bowman, </w:t>
      </w:r>
      <w:r w:rsidRPr="006D46EC">
        <w:rPr>
          <w:rFonts w:ascii="Times New Roman" w:hAnsi="Times New Roman"/>
          <w:lang w:val="en-US"/>
        </w:rPr>
        <w:t xml:space="preserve">J.D. </w:t>
      </w:r>
      <w:r>
        <w:rPr>
          <w:rFonts w:ascii="Times New Roman" w:hAnsi="Times New Roman"/>
          <w:lang w:val="en-GB"/>
        </w:rPr>
        <w:t xml:space="preserve">Thomas, </w:t>
      </w:r>
      <w:proofErr w:type="spellStart"/>
      <w:r>
        <w:rPr>
          <w:rFonts w:ascii="Times New Roman" w:hAnsi="Times New Roman"/>
          <w:i/>
          <w:lang w:val="en-GB"/>
        </w:rPr>
        <w:t>Vindolanda</w:t>
      </w:r>
      <w:proofErr w:type="spellEnd"/>
      <w:r>
        <w:rPr>
          <w:rFonts w:ascii="Times New Roman" w:hAnsi="Times New Roman"/>
          <w:i/>
          <w:lang w:val="en-GB"/>
        </w:rPr>
        <w:t xml:space="preserve">: the </w:t>
      </w:r>
      <w:proofErr w:type="spellStart"/>
      <w:r>
        <w:rPr>
          <w:rFonts w:ascii="Times New Roman" w:hAnsi="Times New Roman"/>
          <w:i/>
          <w:lang w:val="en-GB"/>
        </w:rPr>
        <w:t>latin</w:t>
      </w:r>
      <w:proofErr w:type="spellEnd"/>
      <w:r>
        <w:rPr>
          <w:rFonts w:ascii="Times New Roman" w:hAnsi="Times New Roman"/>
          <w:i/>
          <w:lang w:val="en-GB"/>
        </w:rPr>
        <w:t xml:space="preserve"> writing-tablets</w:t>
      </w:r>
      <w:r>
        <w:rPr>
          <w:rFonts w:ascii="Times New Roman" w:hAnsi="Times New Roman"/>
          <w:lang w:val="en-GB"/>
        </w:rPr>
        <w:t xml:space="preserve">, London, 1983, pp. 35 – 45; </w:t>
      </w:r>
      <w:r w:rsidRPr="00D47EED">
        <w:rPr>
          <w:rFonts w:ascii="Times New Roman" w:hAnsi="Times New Roman"/>
          <w:lang w:val="en-US"/>
        </w:rPr>
        <w:t xml:space="preserve">A.K. </w:t>
      </w:r>
      <w:r>
        <w:rPr>
          <w:rFonts w:ascii="Times New Roman" w:hAnsi="Times New Roman"/>
          <w:lang w:val="en-GB"/>
        </w:rPr>
        <w:t xml:space="preserve">Bowman, </w:t>
      </w:r>
      <w:r>
        <w:rPr>
          <w:rFonts w:ascii="Times New Roman" w:hAnsi="Times New Roman"/>
          <w:i/>
          <w:lang w:val="en-GB"/>
        </w:rPr>
        <w:t xml:space="preserve">Life and letters on the roman frontier. </w:t>
      </w:r>
      <w:proofErr w:type="spellStart"/>
      <w:r>
        <w:rPr>
          <w:rFonts w:ascii="Times New Roman" w:hAnsi="Times New Roman"/>
          <w:i/>
          <w:lang w:val="en-GB"/>
        </w:rPr>
        <w:t>Vindolanda</w:t>
      </w:r>
      <w:proofErr w:type="spellEnd"/>
      <w:r>
        <w:rPr>
          <w:rFonts w:ascii="Times New Roman" w:hAnsi="Times New Roman"/>
          <w:i/>
          <w:lang w:val="en-GB"/>
        </w:rPr>
        <w:t xml:space="preserve"> and its people</w:t>
      </w:r>
      <w:r>
        <w:rPr>
          <w:rFonts w:ascii="Times New Roman" w:hAnsi="Times New Roman"/>
          <w:lang w:val="en-GB"/>
        </w:rPr>
        <w:t xml:space="preserve">, British Museum, 1994, pp. 13 ss.; </w:t>
      </w:r>
      <w:r w:rsidRPr="00D47EED">
        <w:rPr>
          <w:rFonts w:ascii="Times New Roman" w:hAnsi="Times New Roman"/>
          <w:lang w:val="en-US"/>
        </w:rPr>
        <w:t xml:space="preserve">A.K. </w:t>
      </w:r>
      <w:r>
        <w:rPr>
          <w:rFonts w:ascii="Times New Roman" w:hAnsi="Times New Roman"/>
          <w:lang w:val="en-GB"/>
        </w:rPr>
        <w:t xml:space="preserve">Bowman, </w:t>
      </w:r>
      <w:r w:rsidRPr="006D46EC">
        <w:rPr>
          <w:rFonts w:ascii="Times New Roman" w:hAnsi="Times New Roman"/>
          <w:lang w:val="en-US"/>
        </w:rPr>
        <w:t xml:space="preserve">J.D. </w:t>
      </w:r>
      <w:r>
        <w:rPr>
          <w:rFonts w:ascii="Times New Roman" w:hAnsi="Times New Roman"/>
          <w:lang w:val="en-GB"/>
        </w:rPr>
        <w:t xml:space="preserve">Thomas, </w:t>
      </w:r>
      <w:r>
        <w:rPr>
          <w:rFonts w:ascii="Times New Roman" w:hAnsi="Times New Roman"/>
          <w:i/>
          <w:lang w:val="en-GB"/>
        </w:rPr>
        <w:t xml:space="preserve">The </w:t>
      </w:r>
      <w:proofErr w:type="spellStart"/>
      <w:r>
        <w:rPr>
          <w:rFonts w:ascii="Times New Roman" w:hAnsi="Times New Roman"/>
          <w:i/>
          <w:lang w:val="en-GB"/>
        </w:rPr>
        <w:t>Vindolanda</w:t>
      </w:r>
      <w:proofErr w:type="spellEnd"/>
      <w:r>
        <w:rPr>
          <w:rFonts w:ascii="Times New Roman" w:hAnsi="Times New Roman"/>
          <w:i/>
          <w:lang w:val="en-GB"/>
        </w:rPr>
        <w:t xml:space="preserve"> Writing Tablets, </w:t>
      </w:r>
      <w:r>
        <w:rPr>
          <w:rFonts w:ascii="Times New Roman" w:hAnsi="Times New Roman"/>
          <w:lang w:val="en-GB"/>
        </w:rPr>
        <w:t>2, London, 1994.</w:t>
      </w:r>
    </w:p>
  </w:footnote>
  <w:footnote w:id="16">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G. Cavallo, </w:t>
      </w:r>
      <w:r>
        <w:rPr>
          <w:rFonts w:ascii="Times New Roman" w:hAnsi="Times New Roman"/>
          <w:i/>
        </w:rPr>
        <w:t>Libro e cultura scritta</w:t>
      </w:r>
      <w:r>
        <w:rPr>
          <w:rFonts w:ascii="Times New Roman" w:hAnsi="Times New Roman"/>
        </w:rPr>
        <w:t xml:space="preserve">, cit., p.705.  </w:t>
      </w:r>
    </w:p>
  </w:footnote>
  <w:footnote w:id="17">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A Cesare dunque,  secondo G. Cavallo,  </w:t>
      </w:r>
      <w:r>
        <w:rPr>
          <w:rFonts w:ascii="Times New Roman" w:hAnsi="Times New Roman"/>
          <w:i/>
        </w:rPr>
        <w:t>Le  tavolette  come   supporto della scrittura</w:t>
      </w:r>
      <w:r>
        <w:rPr>
          <w:rFonts w:ascii="Times New Roman" w:hAnsi="Times New Roman"/>
        </w:rPr>
        <w:t xml:space="preserve">, </w:t>
      </w:r>
      <w:r>
        <w:rPr>
          <w:rFonts w:ascii="Times New Roman" w:hAnsi="Times New Roman"/>
          <w:lang w:val="fr-FR"/>
        </w:rPr>
        <w:t xml:space="preserve">Les tablettes á écrire de l'antiquité á l’époque moderne,  Actes du Colloque </w:t>
      </w:r>
      <w:proofErr w:type="spellStart"/>
      <w:r>
        <w:rPr>
          <w:rFonts w:ascii="Times New Roman" w:hAnsi="Times New Roman"/>
          <w:lang w:val="fr-FR"/>
        </w:rPr>
        <w:t>intern</w:t>
      </w:r>
      <w:proofErr w:type="spellEnd"/>
      <w:r>
        <w:rPr>
          <w:rFonts w:ascii="Times New Roman" w:hAnsi="Times New Roman"/>
          <w:lang w:val="fr-FR"/>
        </w:rPr>
        <w:t xml:space="preserve">.  du CNRS (Paris,  1990),  </w:t>
      </w:r>
      <w:proofErr w:type="spellStart"/>
      <w:r>
        <w:rPr>
          <w:rFonts w:ascii="Times New Roman" w:hAnsi="Times New Roman"/>
          <w:lang w:val="fr-FR"/>
        </w:rPr>
        <w:t>Brepols</w:t>
      </w:r>
      <w:proofErr w:type="spellEnd"/>
      <w:r>
        <w:rPr>
          <w:rFonts w:ascii="Times New Roman" w:hAnsi="Times New Roman"/>
          <w:lang w:val="fr-FR"/>
        </w:rPr>
        <w:t xml:space="preserve">  -  Turnhout, 1992</w:t>
      </w:r>
      <w:r>
        <w:rPr>
          <w:rFonts w:ascii="Times New Roman" w:hAnsi="Times New Roman"/>
        </w:rPr>
        <w:t xml:space="preserve">, pp. 100 e s., si ascriverebbe la nascita  del  libro  di papiro in forma di codice,  ispirato dal libro di tavolette in base al passo di </w:t>
      </w:r>
      <w:proofErr w:type="spellStart"/>
      <w:r>
        <w:rPr>
          <w:rFonts w:ascii="Times New Roman" w:hAnsi="Times New Roman"/>
        </w:rPr>
        <w:t>Svetonio</w:t>
      </w:r>
      <w:proofErr w:type="spellEnd"/>
      <w:r>
        <w:rPr>
          <w:rFonts w:ascii="Times New Roman" w:hAnsi="Times New Roman"/>
        </w:rPr>
        <w:t xml:space="preserve">, </w:t>
      </w:r>
      <w:proofErr w:type="spellStart"/>
      <w:r>
        <w:rPr>
          <w:rFonts w:ascii="Times New Roman" w:hAnsi="Times New Roman"/>
          <w:i/>
        </w:rPr>
        <w:t>Iul</w:t>
      </w:r>
      <w:proofErr w:type="spellEnd"/>
      <w:r>
        <w:rPr>
          <w:rFonts w:ascii="Times New Roman" w:hAnsi="Times New Roman"/>
        </w:rPr>
        <w:t xml:space="preserve">. 56: </w:t>
      </w:r>
      <w:proofErr w:type="spellStart"/>
      <w:r>
        <w:rPr>
          <w:rFonts w:ascii="Times New Roman" w:hAnsi="Times New Roman"/>
          <w:i/>
        </w:rPr>
        <w:t>primum</w:t>
      </w:r>
      <w:proofErr w:type="spellEnd"/>
      <w:r>
        <w:rPr>
          <w:rFonts w:ascii="Times New Roman" w:hAnsi="Times New Roman"/>
          <w:i/>
        </w:rPr>
        <w:t xml:space="preserve"> </w:t>
      </w:r>
      <w:proofErr w:type="spellStart"/>
      <w:r>
        <w:rPr>
          <w:rFonts w:ascii="Times New Roman" w:hAnsi="Times New Roman"/>
          <w:i/>
        </w:rPr>
        <w:t>videtur</w:t>
      </w:r>
      <w:proofErr w:type="spellEnd"/>
      <w:r>
        <w:rPr>
          <w:rFonts w:ascii="Times New Roman" w:hAnsi="Times New Roman"/>
          <w:i/>
        </w:rPr>
        <w:t xml:space="preserve"> ad </w:t>
      </w:r>
      <w:proofErr w:type="spellStart"/>
      <w:r>
        <w:rPr>
          <w:rFonts w:ascii="Times New Roman" w:hAnsi="Times New Roman"/>
          <w:i/>
        </w:rPr>
        <w:t>paginas</w:t>
      </w:r>
      <w:proofErr w:type="spellEnd"/>
      <w:r>
        <w:rPr>
          <w:rFonts w:ascii="Times New Roman" w:hAnsi="Times New Roman"/>
          <w:i/>
        </w:rPr>
        <w:t xml:space="preserve">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formam</w:t>
      </w:r>
      <w:proofErr w:type="spellEnd"/>
      <w:r>
        <w:rPr>
          <w:rFonts w:ascii="Times New Roman" w:hAnsi="Times New Roman"/>
          <w:i/>
        </w:rPr>
        <w:t xml:space="preserve"> </w:t>
      </w:r>
      <w:proofErr w:type="spellStart"/>
      <w:r>
        <w:rPr>
          <w:rFonts w:ascii="Times New Roman" w:hAnsi="Times New Roman"/>
          <w:i/>
        </w:rPr>
        <w:t>memorialis</w:t>
      </w:r>
      <w:proofErr w:type="spellEnd"/>
      <w:r>
        <w:rPr>
          <w:rFonts w:ascii="Times New Roman" w:hAnsi="Times New Roman"/>
          <w:i/>
        </w:rPr>
        <w:t xml:space="preserve"> libelli convertisse, </w:t>
      </w:r>
      <w:proofErr w:type="spellStart"/>
      <w:r>
        <w:rPr>
          <w:rFonts w:ascii="Times New Roman" w:hAnsi="Times New Roman"/>
          <w:i/>
        </w:rPr>
        <w:t>cum</w:t>
      </w:r>
      <w:proofErr w:type="spellEnd"/>
      <w:r>
        <w:rPr>
          <w:rFonts w:ascii="Times New Roman" w:hAnsi="Times New Roman"/>
          <w:i/>
        </w:rPr>
        <w:t xml:space="preserve"> </w:t>
      </w:r>
      <w:proofErr w:type="spellStart"/>
      <w:r>
        <w:rPr>
          <w:rFonts w:ascii="Times New Roman" w:hAnsi="Times New Roman"/>
          <w:i/>
        </w:rPr>
        <w:t>antea</w:t>
      </w:r>
      <w:proofErr w:type="spellEnd"/>
      <w:r>
        <w:rPr>
          <w:rFonts w:ascii="Times New Roman" w:hAnsi="Times New Roman"/>
          <w:i/>
        </w:rPr>
        <w:t xml:space="preserve"> </w:t>
      </w:r>
      <w:proofErr w:type="spellStart"/>
      <w:r>
        <w:rPr>
          <w:rFonts w:ascii="Times New Roman" w:hAnsi="Times New Roman"/>
          <w:i/>
        </w:rPr>
        <w:t>consules</w:t>
      </w:r>
      <w:proofErr w:type="spellEnd"/>
      <w:r>
        <w:rPr>
          <w:rFonts w:ascii="Times New Roman" w:hAnsi="Times New Roman"/>
          <w:i/>
        </w:rPr>
        <w:t xml:space="preserve"> </w:t>
      </w:r>
      <w:proofErr w:type="spellStart"/>
      <w:r>
        <w:rPr>
          <w:rFonts w:ascii="Times New Roman" w:hAnsi="Times New Roman"/>
          <w:i/>
        </w:rPr>
        <w:t>et</w:t>
      </w:r>
      <w:proofErr w:type="spellEnd"/>
      <w:r>
        <w:rPr>
          <w:rFonts w:ascii="Times New Roman" w:hAnsi="Times New Roman"/>
          <w:i/>
        </w:rPr>
        <w:t xml:space="preserve"> </w:t>
      </w:r>
      <w:proofErr w:type="spellStart"/>
      <w:r>
        <w:rPr>
          <w:rFonts w:ascii="Times New Roman" w:hAnsi="Times New Roman"/>
          <w:i/>
        </w:rPr>
        <w:t>duces</w:t>
      </w:r>
      <w:proofErr w:type="spellEnd"/>
      <w:r>
        <w:rPr>
          <w:rFonts w:ascii="Times New Roman" w:hAnsi="Times New Roman"/>
          <w:i/>
        </w:rPr>
        <w:t xml:space="preserve">  non  </w:t>
      </w:r>
      <w:proofErr w:type="spellStart"/>
      <w:r>
        <w:rPr>
          <w:rFonts w:ascii="Times New Roman" w:hAnsi="Times New Roman"/>
          <w:i/>
        </w:rPr>
        <w:t>nisi</w:t>
      </w:r>
      <w:proofErr w:type="spellEnd"/>
      <w:r>
        <w:rPr>
          <w:rFonts w:ascii="Times New Roman" w:hAnsi="Times New Roman"/>
          <w:i/>
        </w:rPr>
        <w:t xml:space="preserve">  </w:t>
      </w:r>
      <w:proofErr w:type="spellStart"/>
      <w:r>
        <w:rPr>
          <w:rFonts w:ascii="Times New Roman" w:hAnsi="Times New Roman"/>
          <w:i/>
        </w:rPr>
        <w:t>transversa</w:t>
      </w:r>
      <w:proofErr w:type="spellEnd"/>
      <w:r>
        <w:rPr>
          <w:rFonts w:ascii="Times New Roman" w:hAnsi="Times New Roman"/>
          <w:i/>
        </w:rPr>
        <w:t xml:space="preserve">  </w:t>
      </w:r>
      <w:proofErr w:type="spellStart"/>
      <w:r>
        <w:rPr>
          <w:rFonts w:ascii="Times New Roman" w:hAnsi="Times New Roman"/>
          <w:i/>
        </w:rPr>
        <w:t>charta</w:t>
      </w:r>
      <w:proofErr w:type="spellEnd"/>
      <w:r>
        <w:rPr>
          <w:rFonts w:ascii="Times New Roman" w:hAnsi="Times New Roman"/>
          <w:i/>
        </w:rPr>
        <w:t xml:space="preserve">  </w:t>
      </w:r>
      <w:proofErr w:type="spellStart"/>
      <w:r>
        <w:rPr>
          <w:rFonts w:ascii="Times New Roman" w:hAnsi="Times New Roman"/>
          <w:i/>
        </w:rPr>
        <w:t>scriptas</w:t>
      </w:r>
      <w:proofErr w:type="spellEnd"/>
      <w:r>
        <w:rPr>
          <w:rFonts w:ascii="Times New Roman" w:hAnsi="Times New Roman"/>
          <w:i/>
        </w:rPr>
        <w:t xml:space="preserve"> </w:t>
      </w:r>
      <w:proofErr w:type="spellStart"/>
      <w:r>
        <w:rPr>
          <w:rFonts w:ascii="Times New Roman" w:hAnsi="Times New Roman"/>
          <w:i/>
        </w:rPr>
        <w:t>mitterent</w:t>
      </w:r>
      <w:proofErr w:type="spellEnd"/>
      <w:r>
        <w:rPr>
          <w:rFonts w:ascii="Times New Roman" w:hAnsi="Times New Roman"/>
        </w:rPr>
        <w:t xml:space="preserve">.  Avrebbe  cioè trasformato  “in  codice  di papiro i </w:t>
      </w:r>
      <w:proofErr w:type="spellStart"/>
      <w:r>
        <w:rPr>
          <w:rFonts w:ascii="Times New Roman" w:hAnsi="Times New Roman"/>
          <w:i/>
        </w:rPr>
        <w:t>commentarii</w:t>
      </w:r>
      <w:proofErr w:type="spellEnd"/>
      <w:r>
        <w:rPr>
          <w:rFonts w:ascii="Times New Roman" w:hAnsi="Times New Roman"/>
        </w:rPr>
        <w:t xml:space="preserve"> inviati al Senato dalle campagne di guerra,  i quali fino  ad  allora,  diversamente da altri </w:t>
      </w:r>
      <w:proofErr w:type="spellStart"/>
      <w:r>
        <w:rPr>
          <w:rFonts w:ascii="Times New Roman" w:hAnsi="Times New Roman"/>
          <w:i/>
        </w:rPr>
        <w:t>commentarii</w:t>
      </w:r>
      <w:proofErr w:type="spellEnd"/>
      <w:r>
        <w:rPr>
          <w:rFonts w:ascii="Times New Roman" w:hAnsi="Times New Roman"/>
        </w:rPr>
        <w:t xml:space="preserve"> in forma di codici lignei, erano usualmente redatti </w:t>
      </w:r>
      <w:proofErr w:type="spellStart"/>
      <w:r>
        <w:rPr>
          <w:rFonts w:ascii="Times New Roman" w:hAnsi="Times New Roman"/>
          <w:i/>
        </w:rPr>
        <w:t>transversa</w:t>
      </w:r>
      <w:proofErr w:type="spellEnd"/>
      <w:r>
        <w:rPr>
          <w:rFonts w:ascii="Times New Roman" w:hAnsi="Times New Roman"/>
        </w:rPr>
        <w:t xml:space="preserve"> </w:t>
      </w:r>
      <w:proofErr w:type="spellStart"/>
      <w:r>
        <w:rPr>
          <w:rFonts w:ascii="Times New Roman" w:hAnsi="Times New Roman"/>
          <w:i/>
        </w:rPr>
        <w:t>charta</w:t>
      </w:r>
      <w:proofErr w:type="spellEnd"/>
      <w:r>
        <w:rPr>
          <w:rFonts w:ascii="Times New Roman" w:hAnsi="Times New Roman"/>
        </w:rPr>
        <w:t xml:space="preserve">,  vale a  dire su rotolo di papiro scritto nel senso del lato più corto invece che in serie continua di colonne disposte secondo il lato più lungo”.  L’attenzione su questo testo è stata richiamata  da </w:t>
      </w:r>
      <w:proofErr w:type="spellStart"/>
      <w:r>
        <w:rPr>
          <w:rFonts w:ascii="Times New Roman" w:hAnsi="Times New Roman"/>
        </w:rPr>
        <w:t>C.H.</w:t>
      </w:r>
      <w:proofErr w:type="spellEnd"/>
      <w:r>
        <w:rPr>
          <w:rFonts w:ascii="Times New Roman" w:hAnsi="Times New Roman"/>
        </w:rPr>
        <w:t xml:space="preserve"> Roberts e T.C. </w:t>
      </w:r>
      <w:proofErr w:type="spellStart"/>
      <w:r>
        <w:rPr>
          <w:rFonts w:ascii="Times New Roman" w:hAnsi="Times New Roman"/>
        </w:rPr>
        <w:t>Skeat</w:t>
      </w:r>
      <w:proofErr w:type="spellEnd"/>
      <w:r>
        <w:rPr>
          <w:rFonts w:ascii="Times New Roman" w:hAnsi="Times New Roman"/>
        </w:rPr>
        <w:t xml:space="preserve">,  </w:t>
      </w:r>
      <w:r>
        <w:rPr>
          <w:rFonts w:ascii="Times New Roman" w:hAnsi="Times New Roman"/>
          <w:i/>
        </w:rPr>
        <w:t xml:space="preserve">The birth </w:t>
      </w:r>
      <w:proofErr w:type="spellStart"/>
      <w:r>
        <w:rPr>
          <w:rFonts w:ascii="Times New Roman" w:hAnsi="Times New Roman"/>
          <w:i/>
        </w:rPr>
        <w:t>of</w:t>
      </w:r>
      <w:proofErr w:type="spellEnd"/>
      <w:r>
        <w:rPr>
          <w:rFonts w:ascii="Times New Roman" w:hAnsi="Times New Roman"/>
          <w:i/>
        </w:rPr>
        <w:t xml:space="preserve"> the </w:t>
      </w:r>
      <w:proofErr w:type="spellStart"/>
      <w:r>
        <w:rPr>
          <w:rFonts w:ascii="Times New Roman" w:hAnsi="Times New Roman"/>
        </w:rPr>
        <w:t>codex</w:t>
      </w:r>
      <w:proofErr w:type="spellEnd"/>
      <w:r>
        <w:rPr>
          <w:rFonts w:ascii="Times New Roman" w:hAnsi="Times New Roman"/>
        </w:rPr>
        <w:t xml:space="preserve">, Oxford, 1983, p.18 e s.,  ma il valore di tale passo è contestato da J. </w:t>
      </w:r>
      <w:proofErr w:type="spellStart"/>
      <w:r w:rsidRPr="009629F4">
        <w:rPr>
          <w:rFonts w:ascii="Times New Roman" w:hAnsi="Times New Roman"/>
        </w:rPr>
        <w:t>van</w:t>
      </w:r>
      <w:proofErr w:type="spellEnd"/>
      <w:r w:rsidRPr="009629F4">
        <w:rPr>
          <w:rFonts w:ascii="Times New Roman" w:hAnsi="Times New Roman"/>
        </w:rPr>
        <w:t xml:space="preserve"> </w:t>
      </w:r>
      <w:proofErr w:type="spellStart"/>
      <w:r w:rsidRPr="009629F4">
        <w:rPr>
          <w:rFonts w:ascii="Times New Roman" w:hAnsi="Times New Roman"/>
        </w:rPr>
        <w:t>Haelst</w:t>
      </w:r>
      <w:proofErr w:type="spellEnd"/>
      <w:r w:rsidRPr="009629F4">
        <w:rPr>
          <w:rFonts w:ascii="Times New Roman" w:hAnsi="Times New Roman"/>
        </w:rPr>
        <w:t xml:space="preserve">,  </w:t>
      </w:r>
      <w:proofErr w:type="spellStart"/>
      <w:r w:rsidRPr="009629F4">
        <w:rPr>
          <w:rFonts w:ascii="Times New Roman" w:hAnsi="Times New Roman"/>
          <w:i/>
        </w:rPr>
        <w:t>Les</w:t>
      </w:r>
      <w:proofErr w:type="spellEnd"/>
      <w:r w:rsidRPr="009629F4">
        <w:rPr>
          <w:rFonts w:ascii="Times New Roman" w:hAnsi="Times New Roman"/>
        </w:rPr>
        <w:t xml:space="preserve"> </w:t>
      </w:r>
      <w:proofErr w:type="spellStart"/>
      <w:r w:rsidRPr="009629F4">
        <w:rPr>
          <w:rFonts w:ascii="Times New Roman" w:hAnsi="Times New Roman"/>
          <w:i/>
        </w:rPr>
        <w:t>origines</w:t>
      </w:r>
      <w:proofErr w:type="spellEnd"/>
      <w:r w:rsidRPr="009629F4">
        <w:rPr>
          <w:rFonts w:ascii="Times New Roman" w:hAnsi="Times New Roman"/>
        </w:rPr>
        <w:t xml:space="preserve"> </w:t>
      </w:r>
      <w:proofErr w:type="spellStart"/>
      <w:r w:rsidRPr="009629F4">
        <w:rPr>
          <w:rFonts w:ascii="Times New Roman" w:hAnsi="Times New Roman"/>
          <w:i/>
        </w:rPr>
        <w:t>du</w:t>
      </w:r>
      <w:proofErr w:type="spellEnd"/>
      <w:r w:rsidRPr="009629F4">
        <w:rPr>
          <w:rFonts w:ascii="Times New Roman" w:hAnsi="Times New Roman"/>
          <w:i/>
        </w:rPr>
        <w:t xml:space="preserve"> </w:t>
      </w:r>
      <w:proofErr w:type="spellStart"/>
      <w:r w:rsidRPr="009629F4">
        <w:rPr>
          <w:rFonts w:ascii="Times New Roman" w:hAnsi="Times New Roman"/>
        </w:rPr>
        <w:t>codex</w:t>
      </w:r>
      <w:proofErr w:type="spellEnd"/>
      <w:r w:rsidRPr="009629F4">
        <w:rPr>
          <w:rFonts w:ascii="Times New Roman" w:hAnsi="Times New Roman"/>
        </w:rPr>
        <w:t xml:space="preserve">,  </w:t>
      </w:r>
      <w:r>
        <w:rPr>
          <w:rFonts w:ascii="Times New Roman" w:hAnsi="Times New Roman"/>
        </w:rPr>
        <w:t>cit.</w:t>
      </w:r>
      <w:r w:rsidRPr="009629F4">
        <w:rPr>
          <w:rFonts w:ascii="Times New Roman" w:hAnsi="Times New Roman"/>
        </w:rPr>
        <w:t>, p. 20</w:t>
      </w:r>
      <w:r>
        <w:rPr>
          <w:rFonts w:ascii="Times New Roman" w:hAnsi="Times New Roman"/>
        </w:rPr>
        <w:t xml:space="preserve">.  </w:t>
      </w:r>
    </w:p>
  </w:footnote>
  <w:footnote w:id="18">
    <w:p w:rsidR="002E0AAC" w:rsidRDefault="002E0AAC" w:rsidP="00A12492">
      <w:pPr>
        <w:pStyle w:val="Testonormale"/>
        <w:ind w:right="425"/>
        <w:rPr>
          <w:rFonts w:ascii="Times New Roman" w:hAnsi="Times New Roman"/>
          <w:lang w:val="en-GB"/>
        </w:rPr>
      </w:pPr>
      <w:r>
        <w:rPr>
          <w:rStyle w:val="Rimandonotaapidipagina"/>
          <w:rFonts w:ascii="Times New Roman" w:hAnsi="Times New Roman"/>
        </w:rPr>
        <w:footnoteRef/>
      </w:r>
      <w:r>
        <w:rPr>
          <w:rFonts w:ascii="Times New Roman" w:hAnsi="Times New Roman"/>
          <w:lang w:val="en-GB"/>
        </w:rPr>
        <w:t xml:space="preserve">  D. 32, 52.</w:t>
      </w:r>
    </w:p>
  </w:footnote>
  <w:footnote w:id="19">
    <w:p w:rsidR="002E0AAC" w:rsidRDefault="002E0AAC" w:rsidP="00A12492">
      <w:pPr>
        <w:pStyle w:val="Testonormale"/>
        <w:ind w:right="425"/>
        <w:rPr>
          <w:rFonts w:ascii="Times New Roman" w:hAnsi="Times New Roman"/>
          <w:lang w:val="fr-FR"/>
        </w:rPr>
      </w:pPr>
      <w:r>
        <w:rPr>
          <w:rStyle w:val="Rimandonotaapidipagina"/>
          <w:rFonts w:ascii="Times New Roman" w:hAnsi="Times New Roman"/>
        </w:rPr>
        <w:footnoteRef/>
      </w:r>
      <w:r>
        <w:rPr>
          <w:rFonts w:ascii="Times New Roman" w:hAnsi="Times New Roman"/>
          <w:lang w:val="en-GB"/>
        </w:rPr>
        <w:t xml:space="preserve"> C. Th. </w:t>
      </w:r>
      <w:r>
        <w:rPr>
          <w:rFonts w:ascii="Times New Roman" w:hAnsi="Times New Roman"/>
          <w:lang w:val="fr-FR"/>
        </w:rPr>
        <w:t>XIV, 9, 2.</w:t>
      </w:r>
    </w:p>
  </w:footnote>
  <w:footnote w:id="20">
    <w:p w:rsidR="002E0AAC" w:rsidRDefault="002E0AAC" w:rsidP="00A12492">
      <w:pPr>
        <w:pStyle w:val="Testonormale"/>
        <w:ind w:right="425"/>
        <w:rPr>
          <w:rFonts w:ascii="Times New Roman" w:hAnsi="Times New Roman"/>
          <w:lang w:val="fr-FR"/>
        </w:rPr>
      </w:pPr>
      <w:r>
        <w:rPr>
          <w:rStyle w:val="Rimandonotaapidipagina"/>
          <w:rFonts w:ascii="Times New Roman" w:hAnsi="Times New Roman"/>
        </w:rPr>
        <w:footnoteRef/>
      </w:r>
      <w:r>
        <w:rPr>
          <w:rFonts w:ascii="Times New Roman" w:hAnsi="Times New Roman"/>
          <w:lang w:val="fr-FR"/>
        </w:rPr>
        <w:t xml:space="preserve"> R. </w:t>
      </w:r>
      <w:proofErr w:type="spellStart"/>
      <w:r>
        <w:rPr>
          <w:rFonts w:ascii="Times New Roman" w:hAnsi="Times New Roman"/>
          <w:lang w:val="fr-FR"/>
        </w:rPr>
        <w:t>Marichal</w:t>
      </w:r>
      <w:proofErr w:type="spellEnd"/>
      <w:r>
        <w:rPr>
          <w:rFonts w:ascii="Times New Roman" w:hAnsi="Times New Roman"/>
          <w:lang w:val="fr-FR"/>
        </w:rPr>
        <w:t xml:space="preserve">,  </w:t>
      </w:r>
      <w:r>
        <w:rPr>
          <w:rFonts w:ascii="Times New Roman" w:hAnsi="Times New Roman"/>
          <w:i/>
          <w:lang w:val="fr-FR"/>
        </w:rPr>
        <w:t xml:space="preserve">Les  tablettes  </w:t>
      </w:r>
      <w:proofErr w:type="spellStart"/>
      <w:r>
        <w:rPr>
          <w:rFonts w:ascii="Times New Roman" w:hAnsi="Times New Roman"/>
          <w:i/>
          <w:lang w:val="fr-FR"/>
        </w:rPr>
        <w:t>ácrire</w:t>
      </w:r>
      <w:proofErr w:type="spellEnd"/>
      <w:r>
        <w:rPr>
          <w:rFonts w:ascii="Times New Roman" w:hAnsi="Times New Roman"/>
          <w:i/>
          <w:lang w:val="fr-FR"/>
        </w:rPr>
        <w:t xml:space="preserve">  dans  le  monde  romain</w:t>
      </w:r>
      <w:r>
        <w:rPr>
          <w:rFonts w:ascii="Times New Roman" w:hAnsi="Times New Roman"/>
          <w:lang w:val="fr-FR"/>
        </w:rPr>
        <w:t xml:space="preserve">, in </w:t>
      </w:r>
      <w:r>
        <w:rPr>
          <w:rFonts w:ascii="Times New Roman" w:hAnsi="Times New Roman"/>
          <w:i/>
          <w:lang w:val="fr-FR"/>
        </w:rPr>
        <w:t>Les Tablettes</w:t>
      </w:r>
      <w:r>
        <w:rPr>
          <w:rFonts w:ascii="Times New Roman" w:hAnsi="Times New Roman"/>
          <w:lang w:val="fr-FR"/>
        </w:rPr>
        <w:t xml:space="preserve">, </w:t>
      </w:r>
      <w:proofErr w:type="spellStart"/>
      <w:r>
        <w:rPr>
          <w:rFonts w:ascii="Times New Roman" w:hAnsi="Times New Roman"/>
          <w:lang w:val="fr-FR"/>
        </w:rPr>
        <w:t>cit</w:t>
      </w:r>
      <w:proofErr w:type="spellEnd"/>
      <w:r>
        <w:rPr>
          <w:rFonts w:ascii="Times New Roman" w:hAnsi="Times New Roman"/>
          <w:lang w:val="fr-FR"/>
        </w:rPr>
        <w:t>., pp. 173 e s.</w:t>
      </w:r>
    </w:p>
  </w:footnote>
  <w:footnote w:id="21">
    <w:p w:rsidR="002E0AAC" w:rsidRDefault="002E0AAC" w:rsidP="00A12492">
      <w:pPr>
        <w:pStyle w:val="Testonormale"/>
        <w:ind w:right="425"/>
        <w:rPr>
          <w:rFonts w:ascii="Times New Roman" w:hAnsi="Times New Roman"/>
          <w:lang w:val="en-GB"/>
        </w:rPr>
      </w:pPr>
      <w:r>
        <w:rPr>
          <w:rStyle w:val="Rimandonotaapidipagina"/>
          <w:rFonts w:ascii="Times New Roman" w:hAnsi="Times New Roman"/>
        </w:rPr>
        <w:footnoteRef/>
      </w:r>
      <w:r>
        <w:rPr>
          <w:rFonts w:ascii="Times New Roman" w:hAnsi="Times New Roman"/>
        </w:rPr>
        <w:t xml:space="preserve"> G. Cavallo</w:t>
      </w:r>
      <w:r>
        <w:rPr>
          <w:rFonts w:ascii="Times New Roman" w:hAnsi="Times New Roman"/>
          <w:i/>
        </w:rPr>
        <w:t>,  Introduzione</w:t>
      </w:r>
      <w:r>
        <w:rPr>
          <w:rFonts w:ascii="Times New Roman" w:hAnsi="Times New Roman"/>
        </w:rPr>
        <w:t xml:space="preserve">,  </w:t>
      </w:r>
      <w:r>
        <w:rPr>
          <w:rFonts w:ascii="Times New Roman" w:hAnsi="Times New Roman"/>
          <w:i/>
        </w:rPr>
        <w:t>Libri, editori e pubblico</w:t>
      </w:r>
      <w:r>
        <w:rPr>
          <w:rFonts w:ascii="Times New Roman" w:hAnsi="Times New Roman"/>
        </w:rPr>
        <w:t xml:space="preserve">, </w:t>
      </w:r>
      <w:proofErr w:type="spellStart"/>
      <w:r w:rsidRPr="00F60D28">
        <w:rPr>
          <w:rFonts w:ascii="Times New Roman" w:hAnsi="Times New Roman"/>
          <w:bdr w:val="none" w:sz="0" w:space="0" w:color="auto" w:frame="1"/>
        </w:rPr>
        <w:t>Roma-Bari</w:t>
      </w:r>
      <w:proofErr w:type="spellEnd"/>
      <w:r w:rsidRPr="00F60D28">
        <w:rPr>
          <w:rFonts w:ascii="Times New Roman" w:hAnsi="Times New Roman"/>
          <w:bdr w:val="none" w:sz="0" w:space="0" w:color="auto" w:frame="1"/>
        </w:rPr>
        <w:t>,</w:t>
      </w:r>
      <w:r w:rsidRPr="00F60D28">
        <w:rPr>
          <w:rFonts w:ascii="Times New Roman" w:hAnsi="Times New Roman"/>
        </w:rPr>
        <w:t xml:space="preserve"> </w:t>
      </w:r>
      <w:r w:rsidRPr="00F60D28">
        <w:rPr>
          <w:rFonts w:ascii="Times New Roman" w:hAnsi="Times New Roman"/>
          <w:bdr w:val="none" w:sz="0" w:space="0" w:color="auto" w:frame="1"/>
        </w:rPr>
        <w:t>1975</w:t>
      </w:r>
      <w:r>
        <w:rPr>
          <w:rFonts w:ascii="Times New Roman" w:hAnsi="Times New Roman"/>
          <w:bdr w:val="none" w:sz="0" w:space="0" w:color="auto" w:frame="1"/>
        </w:rPr>
        <w:t xml:space="preserve">, </w:t>
      </w:r>
      <w:r>
        <w:rPr>
          <w:rFonts w:ascii="Times New Roman" w:hAnsi="Times New Roman"/>
        </w:rPr>
        <w:t xml:space="preserve">pp. </w:t>
      </w:r>
      <w:r>
        <w:rPr>
          <w:rFonts w:ascii="Times New Roman" w:hAnsi="Times New Roman"/>
          <w:lang w:val="en-GB"/>
        </w:rPr>
        <w:t>XX ss.</w:t>
      </w:r>
    </w:p>
  </w:footnote>
  <w:footnote w:id="22">
    <w:p w:rsidR="002E0AAC" w:rsidRPr="00807FF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lang w:val="en-GB"/>
        </w:rPr>
        <w:t xml:space="preserve"> C.H. Roberts, T.C. </w:t>
      </w:r>
      <w:proofErr w:type="spellStart"/>
      <w:r>
        <w:rPr>
          <w:rFonts w:ascii="Times New Roman" w:hAnsi="Times New Roman"/>
          <w:lang w:val="en-GB"/>
        </w:rPr>
        <w:t>Skeats</w:t>
      </w:r>
      <w:proofErr w:type="spellEnd"/>
      <w:r>
        <w:rPr>
          <w:rFonts w:ascii="Times New Roman" w:hAnsi="Times New Roman"/>
          <w:lang w:val="en-GB"/>
        </w:rPr>
        <w:t xml:space="preserve">,  </w:t>
      </w:r>
      <w:r>
        <w:rPr>
          <w:rFonts w:ascii="Times New Roman" w:hAnsi="Times New Roman"/>
          <w:i/>
          <w:lang w:val="en-GB"/>
        </w:rPr>
        <w:t>The birth of the  Codex</w:t>
      </w:r>
      <w:r>
        <w:rPr>
          <w:rFonts w:ascii="Times New Roman" w:hAnsi="Times New Roman"/>
          <w:lang w:val="en-GB"/>
        </w:rPr>
        <w:t xml:space="preserve">,  Cambridge, 1989,  pp.  </w:t>
      </w:r>
      <w:r w:rsidRPr="00807FFC">
        <w:rPr>
          <w:rFonts w:ascii="Times New Roman" w:hAnsi="Times New Roman"/>
        </w:rPr>
        <w:t>45  ss.;</w:t>
      </w:r>
      <w:r w:rsidRPr="00807FFC">
        <w:rPr>
          <w:rFonts w:ascii="Times New Roman" w:hAnsi="Times New Roman"/>
          <w:i/>
        </w:rPr>
        <w:t xml:space="preserve"> </w:t>
      </w:r>
      <w:proofErr w:type="spellStart"/>
      <w:r w:rsidRPr="00807FFC">
        <w:rPr>
          <w:rFonts w:ascii="Times New Roman" w:hAnsi="Times New Roman"/>
          <w:i/>
        </w:rPr>
        <w:t>praecipue</w:t>
      </w:r>
      <w:proofErr w:type="spellEnd"/>
      <w:r w:rsidRPr="00807FFC">
        <w:rPr>
          <w:rFonts w:ascii="Times New Roman" w:hAnsi="Times New Roman"/>
        </w:rPr>
        <w:t xml:space="preserve">,  p.  55;  le diverse tesi sulle origini del </w:t>
      </w:r>
      <w:proofErr w:type="spellStart"/>
      <w:r w:rsidRPr="00807FFC">
        <w:rPr>
          <w:rFonts w:ascii="Times New Roman" w:hAnsi="Times New Roman"/>
          <w:i/>
        </w:rPr>
        <w:t>codex</w:t>
      </w:r>
      <w:proofErr w:type="spellEnd"/>
      <w:r w:rsidRPr="00807FFC">
        <w:rPr>
          <w:rFonts w:ascii="Times New Roman" w:hAnsi="Times New Roman"/>
        </w:rPr>
        <w:t xml:space="preserve"> sono riassunte in </w:t>
      </w:r>
      <w:proofErr w:type="spellStart"/>
      <w:r w:rsidRPr="00807FFC">
        <w:rPr>
          <w:rFonts w:ascii="Times New Roman" w:hAnsi="Times New Roman"/>
        </w:rPr>
        <w:t>van</w:t>
      </w:r>
      <w:proofErr w:type="spellEnd"/>
      <w:r w:rsidRPr="00807FFC">
        <w:rPr>
          <w:rFonts w:ascii="Times New Roman" w:hAnsi="Times New Roman"/>
        </w:rPr>
        <w:t xml:space="preserve"> </w:t>
      </w:r>
      <w:proofErr w:type="spellStart"/>
      <w:r w:rsidRPr="00807FFC">
        <w:rPr>
          <w:rFonts w:ascii="Times New Roman" w:hAnsi="Times New Roman"/>
        </w:rPr>
        <w:t>Haelst</w:t>
      </w:r>
      <w:proofErr w:type="spellEnd"/>
      <w:r w:rsidRPr="00807FFC">
        <w:rPr>
          <w:rFonts w:ascii="Times New Roman" w:hAnsi="Times New Roman"/>
        </w:rPr>
        <w:t xml:space="preserve">, </w:t>
      </w:r>
      <w:r w:rsidRPr="00807FFC">
        <w:rPr>
          <w:rFonts w:ascii="Times New Roman" w:hAnsi="Times New Roman"/>
          <w:i/>
        </w:rPr>
        <w:t xml:space="preserve"> </w:t>
      </w:r>
      <w:proofErr w:type="spellStart"/>
      <w:r w:rsidRPr="00807FFC">
        <w:rPr>
          <w:rFonts w:ascii="Times New Roman" w:hAnsi="Times New Roman"/>
          <w:i/>
        </w:rPr>
        <w:t>Les</w:t>
      </w:r>
      <w:proofErr w:type="spellEnd"/>
      <w:r w:rsidRPr="00807FFC">
        <w:rPr>
          <w:rFonts w:ascii="Times New Roman" w:hAnsi="Times New Roman"/>
          <w:i/>
        </w:rPr>
        <w:t xml:space="preserve"> </w:t>
      </w:r>
      <w:proofErr w:type="spellStart"/>
      <w:r w:rsidRPr="00807FFC">
        <w:rPr>
          <w:rFonts w:ascii="Times New Roman" w:hAnsi="Times New Roman"/>
          <w:i/>
        </w:rPr>
        <w:t>origines</w:t>
      </w:r>
      <w:proofErr w:type="spellEnd"/>
      <w:r w:rsidRPr="00807FFC">
        <w:rPr>
          <w:rFonts w:ascii="Times New Roman" w:hAnsi="Times New Roman"/>
          <w:i/>
        </w:rPr>
        <w:t xml:space="preserve"> </w:t>
      </w:r>
      <w:proofErr w:type="spellStart"/>
      <w:r w:rsidRPr="00807FFC">
        <w:rPr>
          <w:rFonts w:ascii="Times New Roman" w:hAnsi="Times New Roman"/>
          <w:i/>
        </w:rPr>
        <w:t>du</w:t>
      </w:r>
      <w:proofErr w:type="spellEnd"/>
      <w:r w:rsidRPr="00807FFC">
        <w:rPr>
          <w:rFonts w:ascii="Times New Roman" w:hAnsi="Times New Roman"/>
          <w:i/>
        </w:rPr>
        <w:t xml:space="preserve"> </w:t>
      </w:r>
      <w:proofErr w:type="spellStart"/>
      <w:r w:rsidRPr="00807FFC">
        <w:rPr>
          <w:rFonts w:ascii="Times New Roman" w:hAnsi="Times New Roman"/>
          <w:i/>
        </w:rPr>
        <w:t>codex</w:t>
      </w:r>
      <w:proofErr w:type="spellEnd"/>
      <w:r w:rsidRPr="00807FFC">
        <w:rPr>
          <w:rFonts w:ascii="Times New Roman" w:hAnsi="Times New Roman"/>
        </w:rPr>
        <w:t xml:space="preserve">, in </w:t>
      </w:r>
      <w:proofErr w:type="spellStart"/>
      <w:r w:rsidRPr="00807FFC">
        <w:rPr>
          <w:rFonts w:ascii="Times New Roman" w:hAnsi="Times New Roman"/>
          <w:i/>
        </w:rPr>
        <w:t>Les</w:t>
      </w:r>
      <w:proofErr w:type="spellEnd"/>
      <w:r w:rsidRPr="00807FFC">
        <w:rPr>
          <w:rFonts w:ascii="Times New Roman" w:hAnsi="Times New Roman"/>
          <w:i/>
        </w:rPr>
        <w:t xml:space="preserve"> </w:t>
      </w:r>
      <w:proofErr w:type="spellStart"/>
      <w:r w:rsidRPr="00807FFC">
        <w:rPr>
          <w:rFonts w:ascii="Times New Roman" w:hAnsi="Times New Roman"/>
          <w:i/>
        </w:rPr>
        <w:t>débuts</w:t>
      </w:r>
      <w:proofErr w:type="spellEnd"/>
      <w:r w:rsidRPr="00807FFC">
        <w:rPr>
          <w:rFonts w:ascii="Times New Roman" w:hAnsi="Times New Roman"/>
          <w:i/>
        </w:rPr>
        <w:t xml:space="preserve"> </w:t>
      </w:r>
      <w:proofErr w:type="spellStart"/>
      <w:r w:rsidRPr="00807FFC">
        <w:rPr>
          <w:rFonts w:ascii="Times New Roman" w:hAnsi="Times New Roman"/>
          <w:i/>
        </w:rPr>
        <w:t>du</w:t>
      </w:r>
      <w:proofErr w:type="spellEnd"/>
      <w:r w:rsidRPr="00807FFC">
        <w:rPr>
          <w:rFonts w:ascii="Times New Roman" w:hAnsi="Times New Roman"/>
          <w:i/>
        </w:rPr>
        <w:t xml:space="preserve"> </w:t>
      </w:r>
      <w:proofErr w:type="spellStart"/>
      <w:r w:rsidRPr="00807FFC">
        <w:rPr>
          <w:rFonts w:ascii="Times New Roman" w:hAnsi="Times New Roman"/>
          <w:i/>
        </w:rPr>
        <w:t>codex</w:t>
      </w:r>
      <w:proofErr w:type="spellEnd"/>
      <w:r w:rsidRPr="00807FFC">
        <w:rPr>
          <w:rFonts w:ascii="Times New Roman" w:hAnsi="Times New Roman"/>
        </w:rPr>
        <w:t xml:space="preserve">, </w:t>
      </w:r>
      <w:r w:rsidRPr="008D5A56">
        <w:rPr>
          <w:rFonts w:ascii="Times New Roman" w:hAnsi="Times New Roman"/>
        </w:rPr>
        <w:t>cit., pp. 13 ss.</w:t>
      </w:r>
    </w:p>
  </w:footnote>
  <w:footnote w:id="23">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G. Cavallo,</w:t>
      </w:r>
      <w:r>
        <w:rPr>
          <w:rFonts w:ascii="Times New Roman" w:hAnsi="Times New Roman"/>
          <w:i/>
        </w:rPr>
        <w:t xml:space="preserve">  Libro e pubblico alla fine del mondo antico</w:t>
      </w:r>
      <w:r>
        <w:rPr>
          <w:rFonts w:ascii="Times New Roman" w:hAnsi="Times New Roman"/>
        </w:rPr>
        <w:t>,</w:t>
      </w:r>
      <w:r>
        <w:rPr>
          <w:rFonts w:ascii="Times New Roman" w:hAnsi="Times New Roman"/>
          <w:i/>
        </w:rPr>
        <w:t xml:space="preserve"> Libri, editori e pubblico</w:t>
      </w:r>
      <w:r>
        <w:rPr>
          <w:rFonts w:ascii="Times New Roman" w:hAnsi="Times New Roman"/>
        </w:rPr>
        <w:t>, cit., pp. 127 e s.</w:t>
      </w:r>
    </w:p>
  </w:footnote>
  <w:footnote w:id="24">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G. Purpura,  </w:t>
      </w:r>
      <w:r>
        <w:rPr>
          <w:rFonts w:ascii="Times New Roman" w:hAnsi="Times New Roman"/>
          <w:i/>
        </w:rPr>
        <w:t>Dalle  raccolte  di  precedenti  alle  prime codificazioni  postclassiche:  alcune  testimonianze  papiracee</w:t>
      </w:r>
      <w:r>
        <w:rPr>
          <w:rFonts w:ascii="Times New Roman" w:hAnsi="Times New Roman"/>
        </w:rPr>
        <w:t>, AUPA, 42, 1992, pp. 676 e s.</w:t>
      </w:r>
    </w:p>
  </w:footnote>
  <w:footnote w:id="25">
    <w:p w:rsidR="002E0AAC" w:rsidRPr="00807FFC" w:rsidRDefault="002E0AAC" w:rsidP="00A12492">
      <w:pPr>
        <w:pStyle w:val="Testonormale"/>
        <w:ind w:right="425"/>
        <w:rPr>
          <w:rFonts w:ascii="Times New Roman" w:hAnsi="Times New Roman"/>
          <w:lang w:val="en-US"/>
        </w:rPr>
      </w:pPr>
      <w:r>
        <w:rPr>
          <w:rStyle w:val="Rimandonotaapidipagina"/>
          <w:rFonts w:ascii="Times New Roman" w:hAnsi="Times New Roman"/>
        </w:rPr>
        <w:footnoteRef/>
      </w:r>
      <w:r w:rsidRPr="00807FFC">
        <w:rPr>
          <w:rFonts w:ascii="Times New Roman" w:hAnsi="Times New Roman"/>
          <w:lang w:val="en-US"/>
        </w:rPr>
        <w:t xml:space="preserve"> </w:t>
      </w:r>
      <w:r>
        <w:rPr>
          <w:rFonts w:ascii="Times New Roman" w:hAnsi="Times New Roman"/>
          <w:lang w:val="en-US"/>
        </w:rPr>
        <w:t xml:space="preserve">G. </w:t>
      </w:r>
      <w:proofErr w:type="spellStart"/>
      <w:r w:rsidRPr="00807FFC">
        <w:rPr>
          <w:rFonts w:ascii="Times New Roman" w:hAnsi="Times New Roman"/>
          <w:lang w:val="en-US"/>
        </w:rPr>
        <w:t>Cavallo</w:t>
      </w:r>
      <w:proofErr w:type="spellEnd"/>
      <w:r w:rsidRPr="00807FFC">
        <w:rPr>
          <w:rFonts w:ascii="Times New Roman" w:hAnsi="Times New Roman"/>
          <w:lang w:val="en-US"/>
        </w:rPr>
        <w:t xml:space="preserve">, </w:t>
      </w:r>
      <w:r w:rsidRPr="00807FFC">
        <w:rPr>
          <w:rFonts w:ascii="Times New Roman" w:hAnsi="Times New Roman"/>
          <w:i/>
          <w:lang w:val="en-US"/>
        </w:rPr>
        <w:t>l.c.</w:t>
      </w:r>
    </w:p>
  </w:footnote>
  <w:footnote w:id="26">
    <w:p w:rsidR="002E0AAC" w:rsidRDefault="002E0AAC" w:rsidP="00A12492">
      <w:pPr>
        <w:pStyle w:val="Testonormale"/>
        <w:ind w:right="425"/>
        <w:rPr>
          <w:rFonts w:ascii="Times New Roman" w:hAnsi="Times New Roman"/>
          <w:lang w:val="de-DE"/>
        </w:rPr>
      </w:pPr>
      <w:r>
        <w:rPr>
          <w:rStyle w:val="Rimandonotaapidipagina"/>
          <w:rFonts w:ascii="Times New Roman" w:hAnsi="Times New Roman"/>
        </w:rPr>
        <w:footnoteRef/>
      </w:r>
      <w:r>
        <w:rPr>
          <w:rFonts w:ascii="Times New Roman" w:hAnsi="Times New Roman"/>
          <w:lang w:val="de-DE"/>
        </w:rPr>
        <w:t xml:space="preserve"> F. </w:t>
      </w:r>
      <w:proofErr w:type="spellStart"/>
      <w:r>
        <w:rPr>
          <w:rFonts w:ascii="Times New Roman" w:hAnsi="Times New Roman"/>
          <w:lang w:val="de-DE"/>
        </w:rPr>
        <w:t>Wieacker</w:t>
      </w:r>
      <w:proofErr w:type="spellEnd"/>
      <w:r>
        <w:rPr>
          <w:rFonts w:ascii="Times New Roman" w:hAnsi="Times New Roman"/>
          <w:lang w:val="de-DE"/>
        </w:rPr>
        <w:t xml:space="preserve">,  </w:t>
      </w:r>
      <w:r>
        <w:rPr>
          <w:rFonts w:ascii="Times New Roman" w:hAnsi="Times New Roman"/>
          <w:i/>
          <w:lang w:val="de-DE"/>
        </w:rPr>
        <w:t xml:space="preserve">Textstufen </w:t>
      </w:r>
      <w:proofErr w:type="spellStart"/>
      <w:r>
        <w:rPr>
          <w:rFonts w:ascii="Times New Roman" w:hAnsi="Times New Roman"/>
          <w:i/>
          <w:lang w:val="de-DE"/>
        </w:rPr>
        <w:t>klassicher</w:t>
      </w:r>
      <w:proofErr w:type="spellEnd"/>
      <w:r>
        <w:rPr>
          <w:rFonts w:ascii="Times New Roman" w:hAnsi="Times New Roman"/>
          <w:i/>
          <w:lang w:val="de-DE"/>
        </w:rPr>
        <w:t xml:space="preserve"> Juristen</w:t>
      </w:r>
      <w:r>
        <w:rPr>
          <w:rFonts w:ascii="Times New Roman" w:hAnsi="Times New Roman"/>
          <w:lang w:val="de-DE"/>
        </w:rPr>
        <w:t xml:space="preserve">,  Göttingen, 1960, pp. 93 </w:t>
      </w:r>
      <w:proofErr w:type="spellStart"/>
      <w:r>
        <w:rPr>
          <w:rFonts w:ascii="Times New Roman" w:hAnsi="Times New Roman"/>
          <w:lang w:val="de-DE"/>
        </w:rPr>
        <w:t>ss</w:t>
      </w:r>
      <w:proofErr w:type="spellEnd"/>
      <w:r>
        <w:rPr>
          <w:rFonts w:ascii="Times New Roman" w:hAnsi="Times New Roman"/>
          <w:lang w:val="de-DE"/>
        </w:rPr>
        <w:t>.</w:t>
      </w:r>
    </w:p>
  </w:footnote>
  <w:footnote w:id="27">
    <w:p w:rsidR="002E0AAC" w:rsidRDefault="002E0AAC" w:rsidP="00A12492">
      <w:pPr>
        <w:pStyle w:val="Testonormale"/>
        <w:ind w:right="425"/>
        <w:rPr>
          <w:rFonts w:ascii="Times New Roman" w:hAnsi="Times New Roman"/>
          <w:lang w:val="en-GB"/>
        </w:rPr>
      </w:pPr>
      <w:r>
        <w:rPr>
          <w:rStyle w:val="Rimandonotaapidipagina"/>
          <w:rFonts w:ascii="Times New Roman" w:hAnsi="Times New Roman"/>
        </w:rPr>
        <w:footnoteRef/>
      </w:r>
      <w:r>
        <w:rPr>
          <w:rFonts w:ascii="Times New Roman" w:hAnsi="Times New Roman"/>
          <w:lang w:val="en-GB"/>
        </w:rPr>
        <w:t xml:space="preserve"> J. Lawrence Sharpe III, </w:t>
      </w:r>
      <w:r>
        <w:rPr>
          <w:rFonts w:ascii="Times New Roman" w:hAnsi="Times New Roman"/>
          <w:i/>
          <w:lang w:val="en-GB"/>
        </w:rPr>
        <w:t xml:space="preserve"> The </w:t>
      </w:r>
      <w:proofErr w:type="spellStart"/>
      <w:r>
        <w:rPr>
          <w:rFonts w:ascii="Times New Roman" w:hAnsi="Times New Roman"/>
          <w:i/>
          <w:lang w:val="en-GB"/>
        </w:rPr>
        <w:t>Dakhleh</w:t>
      </w:r>
      <w:proofErr w:type="spellEnd"/>
      <w:r>
        <w:rPr>
          <w:rFonts w:ascii="Times New Roman" w:hAnsi="Times New Roman"/>
          <w:i/>
          <w:lang w:val="en-GB"/>
        </w:rPr>
        <w:t xml:space="preserve"> tablets and some </w:t>
      </w:r>
      <w:proofErr w:type="spellStart"/>
      <w:r>
        <w:rPr>
          <w:rFonts w:ascii="Times New Roman" w:hAnsi="Times New Roman"/>
          <w:i/>
          <w:lang w:val="en-GB"/>
        </w:rPr>
        <w:t>codicological</w:t>
      </w:r>
      <w:proofErr w:type="spellEnd"/>
      <w:r>
        <w:rPr>
          <w:rFonts w:ascii="Times New Roman" w:hAnsi="Times New Roman"/>
          <w:i/>
          <w:lang w:val="en-GB"/>
        </w:rPr>
        <w:t xml:space="preserve"> considerations</w:t>
      </w:r>
      <w:r>
        <w:rPr>
          <w:rFonts w:ascii="Times New Roman" w:hAnsi="Times New Roman"/>
          <w:lang w:val="en-GB"/>
        </w:rPr>
        <w:t xml:space="preserve">, </w:t>
      </w:r>
      <w:r>
        <w:rPr>
          <w:rFonts w:ascii="Times New Roman" w:hAnsi="Times New Roman"/>
          <w:i/>
          <w:lang w:val="en-GB"/>
        </w:rPr>
        <w:t xml:space="preserve">Les </w:t>
      </w:r>
      <w:proofErr w:type="spellStart"/>
      <w:r>
        <w:rPr>
          <w:rFonts w:ascii="Times New Roman" w:hAnsi="Times New Roman"/>
          <w:i/>
          <w:lang w:val="en-GB"/>
        </w:rPr>
        <w:t>tablettes</w:t>
      </w:r>
      <w:proofErr w:type="spellEnd"/>
      <w:r>
        <w:rPr>
          <w:rFonts w:ascii="Times New Roman" w:hAnsi="Times New Roman"/>
          <w:lang w:val="en-GB"/>
        </w:rPr>
        <w:t>, cit., pp. 127 ss.</w:t>
      </w:r>
    </w:p>
  </w:footnote>
  <w:footnote w:id="28">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w:t>
      </w:r>
      <w:proofErr w:type="spellStart"/>
      <w:r>
        <w:rPr>
          <w:rFonts w:ascii="Times New Roman" w:hAnsi="Times New Roman"/>
        </w:rPr>
        <w:t>Temistio</w:t>
      </w:r>
      <w:proofErr w:type="spellEnd"/>
      <w:r>
        <w:rPr>
          <w:rFonts w:ascii="Times New Roman" w:hAnsi="Times New Roman"/>
        </w:rPr>
        <w:t xml:space="preserve">, </w:t>
      </w:r>
      <w:proofErr w:type="spellStart"/>
      <w:r>
        <w:rPr>
          <w:rFonts w:ascii="Times New Roman" w:hAnsi="Times New Roman"/>
          <w:i/>
        </w:rPr>
        <w:t>Orat</w:t>
      </w:r>
      <w:proofErr w:type="spellEnd"/>
      <w:r>
        <w:rPr>
          <w:rFonts w:ascii="Times New Roman" w:hAnsi="Times New Roman"/>
          <w:i/>
        </w:rPr>
        <w:t>.</w:t>
      </w:r>
      <w:r>
        <w:rPr>
          <w:rFonts w:ascii="Times New Roman" w:hAnsi="Times New Roman"/>
        </w:rPr>
        <w:t xml:space="preserve">  IV, 59d - 60c;  C.  </w:t>
      </w:r>
      <w:proofErr w:type="spellStart"/>
      <w:r>
        <w:rPr>
          <w:rFonts w:ascii="Times New Roman" w:hAnsi="Times New Roman"/>
        </w:rPr>
        <w:t>Th</w:t>
      </w:r>
      <w:proofErr w:type="spellEnd"/>
      <w:r>
        <w:rPr>
          <w:rFonts w:ascii="Times New Roman" w:hAnsi="Times New Roman"/>
        </w:rPr>
        <w:t xml:space="preserve">.  XIV,  9,  2; Cavallo, </w:t>
      </w:r>
      <w:r w:rsidRPr="008B111C">
        <w:rPr>
          <w:rFonts w:ascii="Times New Roman" w:hAnsi="Times New Roman"/>
          <w:i/>
        </w:rPr>
        <w:t>op. cit.</w:t>
      </w:r>
      <w:r>
        <w:rPr>
          <w:rFonts w:ascii="Times New Roman" w:hAnsi="Times New Roman"/>
        </w:rPr>
        <w:t>, pp. 91 e s.</w:t>
      </w:r>
    </w:p>
  </w:footnote>
  <w:footnote w:id="29">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w:t>
      </w:r>
      <w:proofErr w:type="spellStart"/>
      <w:r>
        <w:rPr>
          <w:rFonts w:ascii="Times New Roman" w:hAnsi="Times New Roman"/>
        </w:rPr>
        <w:t>Niceforo</w:t>
      </w:r>
      <w:proofErr w:type="spellEnd"/>
      <w:r>
        <w:rPr>
          <w:rFonts w:ascii="Times New Roman" w:hAnsi="Times New Roman"/>
        </w:rPr>
        <w:t xml:space="preserve"> Callisto, </w:t>
      </w:r>
      <w:r>
        <w:rPr>
          <w:rFonts w:ascii="Times New Roman" w:hAnsi="Times New Roman"/>
          <w:i/>
        </w:rPr>
        <w:t xml:space="preserve"> Eccl.  </w:t>
      </w:r>
      <w:proofErr w:type="spellStart"/>
      <w:r>
        <w:rPr>
          <w:rFonts w:ascii="Times New Roman" w:hAnsi="Times New Roman"/>
          <w:i/>
        </w:rPr>
        <w:t>Hist</w:t>
      </w:r>
      <w:proofErr w:type="spellEnd"/>
      <w:r>
        <w:rPr>
          <w:rFonts w:ascii="Times New Roman" w:hAnsi="Times New Roman"/>
          <w:i/>
        </w:rPr>
        <w:t>.</w:t>
      </w:r>
      <w:r>
        <w:rPr>
          <w:rFonts w:ascii="Times New Roman" w:hAnsi="Times New Roman"/>
        </w:rPr>
        <w:t xml:space="preserve">  XIV, 441 (</w:t>
      </w:r>
      <w:r>
        <w:rPr>
          <w:rFonts w:ascii="Times New Roman" w:hAnsi="Times New Roman"/>
          <w:i/>
        </w:rPr>
        <w:t xml:space="preserve">Patrologia </w:t>
      </w:r>
      <w:proofErr w:type="spellStart"/>
      <w:r>
        <w:rPr>
          <w:rFonts w:ascii="Times New Roman" w:hAnsi="Times New Roman"/>
          <w:i/>
        </w:rPr>
        <w:t>Graeca</w:t>
      </w:r>
      <w:proofErr w:type="spellEnd"/>
      <w:r>
        <w:rPr>
          <w:rFonts w:ascii="Times New Roman" w:hAnsi="Times New Roman"/>
          <w:i/>
        </w:rPr>
        <w:t xml:space="preserve"> </w:t>
      </w:r>
      <w:r>
        <w:rPr>
          <w:rFonts w:ascii="Times New Roman" w:hAnsi="Times New Roman"/>
        </w:rPr>
        <w:t>146,  1064 A - B);  G. Purpura,</w:t>
      </w:r>
      <w:r>
        <w:rPr>
          <w:rFonts w:ascii="Times New Roman" w:hAnsi="Times New Roman"/>
          <w:i/>
        </w:rPr>
        <w:t xml:space="preserve">  Sulle origini della </w:t>
      </w:r>
      <w:proofErr w:type="spellStart"/>
      <w:r>
        <w:rPr>
          <w:rFonts w:ascii="Times New Roman" w:hAnsi="Times New Roman"/>
          <w:i/>
        </w:rPr>
        <w:t>Notitia</w:t>
      </w:r>
      <w:proofErr w:type="spellEnd"/>
      <w:r>
        <w:rPr>
          <w:rFonts w:ascii="Times New Roman" w:hAnsi="Times New Roman"/>
          <w:i/>
        </w:rPr>
        <w:t xml:space="preserve"> </w:t>
      </w:r>
      <w:proofErr w:type="spellStart"/>
      <w:r>
        <w:rPr>
          <w:rFonts w:ascii="Times New Roman" w:hAnsi="Times New Roman"/>
          <w:i/>
        </w:rPr>
        <w:t>Dignitatum</w:t>
      </w:r>
      <w:proofErr w:type="spellEnd"/>
      <w:r>
        <w:rPr>
          <w:rFonts w:ascii="Times New Roman" w:hAnsi="Times New Roman"/>
        </w:rPr>
        <w:t>, AUPA, 42, 1992, pp. 481 e s.</w:t>
      </w:r>
    </w:p>
  </w:footnote>
  <w:footnote w:id="30">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Girolamo, </w:t>
      </w:r>
      <w:proofErr w:type="spellStart"/>
      <w:r>
        <w:rPr>
          <w:rFonts w:ascii="Times New Roman" w:hAnsi="Times New Roman"/>
          <w:i/>
        </w:rPr>
        <w:t>Ep</w:t>
      </w:r>
      <w:proofErr w:type="spellEnd"/>
      <w:r>
        <w:rPr>
          <w:rFonts w:ascii="Times New Roman" w:hAnsi="Times New Roman"/>
        </w:rPr>
        <w:t>. XXII, 32; G. Cavallo,</w:t>
      </w:r>
      <w:r>
        <w:rPr>
          <w:rFonts w:ascii="Times New Roman" w:hAnsi="Times New Roman"/>
          <w:i/>
        </w:rPr>
        <w:t xml:space="preserve"> op. cit.</w:t>
      </w:r>
      <w:r>
        <w:rPr>
          <w:rFonts w:ascii="Times New Roman" w:hAnsi="Times New Roman"/>
        </w:rPr>
        <w:t xml:space="preserve">, pp.122 e s.  </w:t>
      </w:r>
    </w:p>
  </w:footnote>
  <w:footnote w:id="31">
    <w:p w:rsidR="002E0AAC" w:rsidRPr="00807FFC" w:rsidRDefault="002E0AAC" w:rsidP="00A12492">
      <w:pPr>
        <w:pStyle w:val="Testonormale"/>
        <w:ind w:right="425"/>
        <w:rPr>
          <w:rFonts w:ascii="Times New Roman" w:hAnsi="Times New Roman"/>
        </w:rPr>
      </w:pPr>
      <w:r>
        <w:rPr>
          <w:rStyle w:val="Rimandonotaapidipagina"/>
          <w:rFonts w:ascii="Times New Roman" w:hAnsi="Times New Roman"/>
        </w:rPr>
        <w:footnoteRef/>
      </w:r>
      <w:r w:rsidRPr="00807FFC">
        <w:rPr>
          <w:rFonts w:ascii="Times New Roman" w:hAnsi="Times New Roman"/>
        </w:rPr>
        <w:t xml:space="preserve"> C. </w:t>
      </w:r>
      <w:proofErr w:type="spellStart"/>
      <w:r w:rsidRPr="00807FFC">
        <w:rPr>
          <w:rFonts w:ascii="Times New Roman" w:hAnsi="Times New Roman"/>
        </w:rPr>
        <w:t>Th</w:t>
      </w:r>
      <w:proofErr w:type="spellEnd"/>
      <w:r w:rsidRPr="00807FFC">
        <w:rPr>
          <w:rFonts w:ascii="Times New Roman" w:hAnsi="Times New Roman"/>
        </w:rPr>
        <w:t>. I, 4, 1 (321); 2 (327).</w:t>
      </w:r>
    </w:p>
  </w:footnote>
  <w:footnote w:id="32">
    <w:p w:rsidR="002E0AAC" w:rsidRPr="006A681B" w:rsidRDefault="002E0AAC">
      <w:pPr>
        <w:pStyle w:val="Testonotaapidipagina"/>
        <w:rPr>
          <w:rFonts w:ascii="Times New Roman" w:hAnsi="Times New Roman"/>
        </w:rPr>
      </w:pPr>
      <w:r>
        <w:rPr>
          <w:rStyle w:val="Rimandonotaapidipagina"/>
        </w:rPr>
        <w:footnoteRef/>
      </w:r>
      <w:r>
        <w:t xml:space="preserve"> </w:t>
      </w:r>
      <w:r>
        <w:rPr>
          <w:rFonts w:ascii="Times New Roman" w:hAnsi="Times New Roman"/>
        </w:rPr>
        <w:t xml:space="preserve">Bene evidenziati in </w:t>
      </w:r>
      <w:r w:rsidRPr="006A681B">
        <w:rPr>
          <w:rFonts w:ascii="Times New Roman" w:hAnsi="Times New Roman"/>
        </w:rPr>
        <w:t xml:space="preserve">G. </w:t>
      </w:r>
      <w:proofErr w:type="spellStart"/>
      <w:r w:rsidRPr="006A681B">
        <w:rPr>
          <w:rFonts w:ascii="Times New Roman" w:hAnsi="Times New Roman"/>
        </w:rPr>
        <w:t>Bassanelli</w:t>
      </w:r>
      <w:proofErr w:type="spellEnd"/>
      <w:r w:rsidRPr="006A681B">
        <w:rPr>
          <w:rFonts w:ascii="Times New Roman" w:hAnsi="Times New Roman"/>
        </w:rPr>
        <w:t xml:space="preserve"> </w:t>
      </w:r>
      <w:proofErr w:type="spellStart"/>
      <w:r w:rsidRPr="006A681B">
        <w:rPr>
          <w:rFonts w:ascii="Times New Roman" w:hAnsi="Times New Roman"/>
        </w:rPr>
        <w:t>Sommariva</w:t>
      </w:r>
      <w:proofErr w:type="spellEnd"/>
      <w:r w:rsidRPr="006A681B">
        <w:rPr>
          <w:rFonts w:ascii="Times New Roman" w:hAnsi="Times New Roman"/>
        </w:rPr>
        <w:t xml:space="preserve">, </w:t>
      </w:r>
      <w:r w:rsidRPr="006A681B">
        <w:rPr>
          <w:rFonts w:ascii="Times New Roman" w:hAnsi="Times New Roman"/>
          <w:i/>
        </w:rPr>
        <w:t xml:space="preserve">La legge di </w:t>
      </w:r>
      <w:proofErr w:type="spellStart"/>
      <w:r w:rsidRPr="006A681B">
        <w:rPr>
          <w:rFonts w:ascii="Times New Roman" w:hAnsi="Times New Roman"/>
          <w:i/>
        </w:rPr>
        <w:t>Valentiniano</w:t>
      </w:r>
      <w:proofErr w:type="spellEnd"/>
      <w:r w:rsidRPr="006A681B">
        <w:rPr>
          <w:rFonts w:ascii="Times New Roman" w:hAnsi="Times New Roman"/>
          <w:i/>
        </w:rPr>
        <w:t xml:space="preserve"> III del 7 novembre 426</w:t>
      </w:r>
      <w:r w:rsidRPr="006A681B">
        <w:rPr>
          <w:rFonts w:ascii="Times New Roman" w:hAnsi="Times New Roman"/>
        </w:rPr>
        <w:t xml:space="preserve">, </w:t>
      </w:r>
      <w:proofErr w:type="spellStart"/>
      <w:r w:rsidRPr="006A681B">
        <w:rPr>
          <w:rFonts w:ascii="Times New Roman" w:hAnsi="Times New Roman"/>
        </w:rPr>
        <w:t>Labeo</w:t>
      </w:r>
      <w:proofErr w:type="spellEnd"/>
      <w:r w:rsidRPr="006A681B">
        <w:rPr>
          <w:rFonts w:ascii="Times New Roman" w:hAnsi="Times New Roman"/>
        </w:rPr>
        <w:t>, 29, 1983, pp. 280-313</w:t>
      </w:r>
      <w:r w:rsidRPr="006A681B">
        <w:rPr>
          <w:rFonts w:ascii="Times New Roman" w:hAnsi="Times New Roman"/>
          <w:smallCaps/>
        </w:rPr>
        <w:t>.</w:t>
      </w:r>
      <w:r>
        <w:rPr>
          <w:rFonts w:ascii="Times New Roman" w:hAnsi="Times New Roman"/>
        </w:rPr>
        <w:t xml:space="preserve"> </w:t>
      </w:r>
    </w:p>
  </w:footnote>
  <w:footnote w:id="33">
    <w:p w:rsidR="002E0AAC" w:rsidRPr="00453520"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D. 9, 2, 27, 9 e Coll. 12, 7, 7</w:t>
      </w:r>
      <w:r w:rsidR="00D525A8" w:rsidRPr="00453520">
        <w:rPr>
          <w:rFonts w:ascii="Times New Roman" w:hAnsi="Times New Roman"/>
        </w:rPr>
        <w:t xml:space="preserve">; </w:t>
      </w:r>
      <w:r w:rsidR="00D525A8">
        <w:rPr>
          <w:rFonts w:ascii="Times New Roman" w:hAnsi="Times New Roman"/>
        </w:rPr>
        <w:t xml:space="preserve">Cfr. </w:t>
      </w:r>
      <w:r w:rsidR="00453520" w:rsidRPr="00453520">
        <w:rPr>
          <w:rFonts w:ascii="Times New Roman" w:hAnsi="Times New Roman"/>
        </w:rPr>
        <w:t>F</w:t>
      </w:r>
      <w:r w:rsidRPr="00453520">
        <w:rPr>
          <w:rFonts w:ascii="Times New Roman" w:hAnsi="Times New Roman"/>
        </w:rPr>
        <w:t>.</w:t>
      </w:r>
      <w:r w:rsidR="00453520" w:rsidRPr="00453520">
        <w:rPr>
          <w:rFonts w:ascii="Times New Roman" w:hAnsi="Times New Roman"/>
        </w:rPr>
        <w:t xml:space="preserve"> </w:t>
      </w:r>
      <w:r w:rsidR="00453520" w:rsidRPr="00453520">
        <w:rPr>
          <w:rFonts w:ascii="Times New Roman" w:eastAsia="Calibri" w:hAnsi="Times New Roman"/>
          <w:bCs/>
          <w:lang w:eastAsia="en-US"/>
        </w:rPr>
        <w:t xml:space="preserve">De Marini </w:t>
      </w:r>
      <w:proofErr w:type="spellStart"/>
      <w:r w:rsidR="00453520" w:rsidRPr="00453520">
        <w:rPr>
          <w:rFonts w:ascii="Times New Roman" w:eastAsia="Calibri" w:hAnsi="Times New Roman"/>
          <w:bCs/>
          <w:lang w:eastAsia="en-US"/>
        </w:rPr>
        <w:t>Avonzo</w:t>
      </w:r>
      <w:proofErr w:type="spellEnd"/>
      <w:r w:rsidR="00453520" w:rsidRPr="00453520">
        <w:rPr>
          <w:rFonts w:ascii="Times New Roman" w:eastAsia="Calibri" w:hAnsi="Times New Roman"/>
          <w:lang w:eastAsia="en-US"/>
        </w:rPr>
        <w:t xml:space="preserve">, Critica </w:t>
      </w:r>
      <w:r w:rsidR="00453520" w:rsidRPr="00453520">
        <w:rPr>
          <w:rFonts w:ascii="Times New Roman" w:eastAsia="Calibri" w:hAnsi="Times New Roman"/>
          <w:bCs/>
          <w:lang w:eastAsia="en-US"/>
        </w:rPr>
        <w:t>testuale</w:t>
      </w:r>
      <w:r w:rsidR="00453520" w:rsidRPr="00453520">
        <w:rPr>
          <w:rFonts w:ascii="Times New Roman" w:eastAsia="Calibri" w:hAnsi="Times New Roman"/>
          <w:lang w:eastAsia="en-US"/>
        </w:rPr>
        <w:t xml:space="preserve"> e studio storico del diritto, Torino, 1973,</w:t>
      </w:r>
      <w:r w:rsidR="00453520">
        <w:rPr>
          <w:rFonts w:ascii="Times New Roman" w:eastAsia="Calibri" w:hAnsi="Times New Roman"/>
          <w:color w:val="545454"/>
          <w:lang w:eastAsia="en-US"/>
        </w:rPr>
        <w:t xml:space="preserve"> </w:t>
      </w:r>
      <w:r w:rsidR="00453520" w:rsidRPr="00D525A8">
        <w:rPr>
          <w:rFonts w:ascii="Times New Roman" w:eastAsia="Calibri" w:hAnsi="Times New Roman"/>
          <w:color w:val="545454"/>
          <w:lang w:eastAsia="en-US"/>
        </w:rPr>
        <w:t>p.</w:t>
      </w:r>
      <w:r w:rsidR="00D525A8">
        <w:rPr>
          <w:rFonts w:ascii="Times New Roman" w:eastAsia="Calibri" w:hAnsi="Times New Roman"/>
          <w:color w:val="545454"/>
          <w:lang w:eastAsia="en-US"/>
        </w:rPr>
        <w:t xml:space="preserve"> 32</w:t>
      </w:r>
      <w:r w:rsidR="00453520" w:rsidRPr="00D525A8">
        <w:rPr>
          <w:rFonts w:ascii="Times New Roman" w:eastAsia="Calibri" w:hAnsi="Times New Roman"/>
          <w:color w:val="545454"/>
          <w:lang w:eastAsia="en-US"/>
        </w:rPr>
        <w:t>.</w:t>
      </w:r>
    </w:p>
  </w:footnote>
  <w:footnote w:id="34">
    <w:p w:rsidR="002E0AAC" w:rsidRDefault="002E0AAC" w:rsidP="00A12492">
      <w:pPr>
        <w:pStyle w:val="Testonormale"/>
        <w:ind w:right="425"/>
        <w:rPr>
          <w:rFonts w:ascii="Times New Roman" w:hAnsi="Times New Roman"/>
        </w:rPr>
      </w:pPr>
      <w:r>
        <w:rPr>
          <w:rStyle w:val="Rimandonotaapidipagina"/>
          <w:rFonts w:ascii="Times New Roman" w:hAnsi="Times New Roman"/>
        </w:rPr>
        <w:footnoteRef/>
      </w:r>
      <w:r>
        <w:rPr>
          <w:rFonts w:ascii="Times New Roman" w:hAnsi="Times New Roman"/>
        </w:rPr>
        <w:t xml:space="preserve"> L. </w:t>
      </w:r>
      <w:proofErr w:type="spellStart"/>
      <w:r>
        <w:rPr>
          <w:rFonts w:ascii="Times New Roman" w:hAnsi="Times New Roman"/>
        </w:rPr>
        <w:t>Amirante</w:t>
      </w:r>
      <w:proofErr w:type="spellEnd"/>
      <w:r>
        <w:rPr>
          <w:rFonts w:ascii="Times New Roman" w:hAnsi="Times New Roman"/>
        </w:rPr>
        <w:t>,</w:t>
      </w:r>
      <w:r>
        <w:rPr>
          <w:rFonts w:ascii="Times New Roman" w:hAnsi="Times New Roman"/>
          <w:i/>
        </w:rPr>
        <w:t xml:space="preserve">  Per  la storia dei testi giurisprudenziali classici</w:t>
      </w:r>
      <w:r>
        <w:rPr>
          <w:rFonts w:ascii="Times New Roman" w:hAnsi="Times New Roman"/>
        </w:rPr>
        <w:t xml:space="preserve">, </w:t>
      </w:r>
      <w:proofErr w:type="spellStart"/>
      <w:r>
        <w:rPr>
          <w:rFonts w:ascii="Times New Roman" w:hAnsi="Times New Roman"/>
        </w:rPr>
        <w:t>Labeo</w:t>
      </w:r>
      <w:proofErr w:type="spellEnd"/>
      <w:r>
        <w:rPr>
          <w:rFonts w:ascii="Times New Roman" w:hAnsi="Times New Roman"/>
        </w:rPr>
        <w:t xml:space="preserve">, 7, 1961, p. 400.             </w:t>
      </w:r>
    </w:p>
  </w:footnote>
  <w:footnote w:id="35">
    <w:p w:rsidR="002E0AAC" w:rsidRDefault="002E0AAC" w:rsidP="0026094C">
      <w:pPr>
        <w:pStyle w:val="Testonormale"/>
        <w:ind w:right="567"/>
        <w:rPr>
          <w:rFonts w:ascii="Times New Roman" w:hAnsi="Times New Roman"/>
        </w:rPr>
      </w:pPr>
      <w:r>
        <w:rPr>
          <w:rStyle w:val="Rimandonotaapidipagina"/>
          <w:rFonts w:ascii="Times New Roman" w:hAnsi="Times New Roman"/>
        </w:rPr>
        <w:footnoteRef/>
      </w:r>
      <w:r>
        <w:rPr>
          <w:rFonts w:ascii="Times New Roman" w:hAnsi="Times New Roman"/>
        </w:rPr>
        <w:t xml:space="preserve">  </w:t>
      </w:r>
      <w:proofErr w:type="spellStart"/>
      <w:r>
        <w:rPr>
          <w:rFonts w:ascii="Times New Roman" w:hAnsi="Times New Roman"/>
        </w:rPr>
        <w:t>Libanio</w:t>
      </w:r>
      <w:proofErr w:type="spellEnd"/>
      <w:r>
        <w:rPr>
          <w:rFonts w:ascii="Times New Roman" w:hAnsi="Times New Roman"/>
        </w:rPr>
        <w:t xml:space="preserve">, </w:t>
      </w:r>
      <w:proofErr w:type="spellStart"/>
      <w:r>
        <w:rPr>
          <w:rFonts w:ascii="Times New Roman" w:hAnsi="Times New Roman"/>
          <w:i/>
        </w:rPr>
        <w:t>Orat</w:t>
      </w:r>
      <w:proofErr w:type="spellEnd"/>
      <w:r>
        <w:rPr>
          <w:rFonts w:ascii="Times New Roman" w:hAnsi="Times New Roman"/>
        </w:rPr>
        <w:t xml:space="preserve">.  IV, 18; LVIII, 5; G. Cavallo, </w:t>
      </w:r>
      <w:r>
        <w:rPr>
          <w:rFonts w:ascii="Times New Roman" w:hAnsi="Times New Roman"/>
          <w:i/>
        </w:rPr>
        <w:t>op. cit.,</w:t>
      </w:r>
      <w:r>
        <w:rPr>
          <w:rFonts w:ascii="Times New Roman" w:hAnsi="Times New Roman"/>
        </w:rPr>
        <w:t xml:space="preserve"> p.130. Per D. </w:t>
      </w:r>
      <w:proofErr w:type="spellStart"/>
      <w:r>
        <w:rPr>
          <w:rFonts w:ascii="Times New Roman" w:hAnsi="Times New Roman"/>
        </w:rPr>
        <w:t>Pugsley</w:t>
      </w:r>
      <w:proofErr w:type="spellEnd"/>
      <w:r>
        <w:rPr>
          <w:rFonts w:ascii="Times New Roman" w:hAnsi="Times New Roman"/>
        </w:rPr>
        <w:t xml:space="preserve">, </w:t>
      </w:r>
      <w:r>
        <w:rPr>
          <w:rFonts w:ascii="Times New Roman" w:hAnsi="Times New Roman"/>
          <w:i/>
        </w:rPr>
        <w:t xml:space="preserve">On </w:t>
      </w:r>
      <w:proofErr w:type="spellStart"/>
      <w:r>
        <w:rPr>
          <w:rFonts w:ascii="Times New Roman" w:hAnsi="Times New Roman"/>
          <w:i/>
        </w:rPr>
        <w:t>compiling</w:t>
      </w:r>
      <w:proofErr w:type="spellEnd"/>
      <w:r>
        <w:rPr>
          <w:rFonts w:ascii="Times New Roman" w:hAnsi="Times New Roman"/>
          <w:i/>
        </w:rPr>
        <w:t xml:space="preserve"> </w:t>
      </w:r>
      <w:proofErr w:type="spellStart"/>
      <w:r>
        <w:rPr>
          <w:rFonts w:ascii="Times New Roman" w:hAnsi="Times New Roman"/>
          <w:i/>
        </w:rPr>
        <w:t>Justinian's</w:t>
      </w:r>
      <w:proofErr w:type="spellEnd"/>
      <w:r>
        <w:rPr>
          <w:rFonts w:ascii="Times New Roman" w:hAnsi="Times New Roman"/>
          <w:i/>
        </w:rPr>
        <w:t xml:space="preserve"> </w:t>
      </w:r>
      <w:proofErr w:type="spellStart"/>
      <w:r>
        <w:rPr>
          <w:rFonts w:ascii="Times New Roman" w:hAnsi="Times New Roman"/>
          <w:i/>
        </w:rPr>
        <w:t>Digest</w:t>
      </w:r>
      <w:proofErr w:type="spellEnd"/>
      <w:r>
        <w:rPr>
          <w:rFonts w:ascii="Times New Roman" w:hAnsi="Times New Roman"/>
          <w:i/>
        </w:rPr>
        <w:t xml:space="preserve"> II: </w:t>
      </w:r>
      <w:proofErr w:type="spellStart"/>
      <w:r>
        <w:rPr>
          <w:rFonts w:ascii="Times New Roman" w:hAnsi="Times New Roman"/>
          <w:i/>
        </w:rPr>
        <w:t>Plans</w:t>
      </w:r>
      <w:proofErr w:type="spellEnd"/>
      <w:r>
        <w:rPr>
          <w:rFonts w:ascii="Times New Roman" w:hAnsi="Times New Roman"/>
          <w:i/>
        </w:rPr>
        <w:t xml:space="preserve"> and </w:t>
      </w:r>
      <w:proofErr w:type="spellStart"/>
      <w:r>
        <w:rPr>
          <w:rFonts w:ascii="Times New Roman" w:hAnsi="Times New Roman"/>
          <w:i/>
        </w:rPr>
        <w:t>Interruptions</w:t>
      </w:r>
      <w:proofErr w:type="spellEnd"/>
      <w:r>
        <w:rPr>
          <w:rFonts w:ascii="Times New Roman" w:hAnsi="Times New Roman"/>
          <w:i/>
        </w:rPr>
        <w:t xml:space="preserve">, The Journal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Legal</w:t>
      </w:r>
      <w:proofErr w:type="spellEnd"/>
      <w:r>
        <w:rPr>
          <w:rFonts w:ascii="Times New Roman" w:hAnsi="Times New Roman"/>
          <w:i/>
        </w:rPr>
        <w:t xml:space="preserve"> </w:t>
      </w:r>
      <w:proofErr w:type="spellStart"/>
      <w:r>
        <w:rPr>
          <w:rFonts w:ascii="Times New Roman" w:hAnsi="Times New Roman"/>
          <w:i/>
        </w:rPr>
        <w:t>History</w:t>
      </w:r>
      <w:proofErr w:type="spellEnd"/>
      <w:r>
        <w:rPr>
          <w:rFonts w:ascii="Times New Roman" w:hAnsi="Times New Roman"/>
        </w:rPr>
        <w:t>,  13,  3,  1992,  p. 226,  l’</w:t>
      </w:r>
      <w:proofErr w:type="spellStart"/>
      <w:r>
        <w:rPr>
          <w:rFonts w:ascii="Times New Roman" w:hAnsi="Times New Roman"/>
          <w:i/>
        </w:rPr>
        <w:t>appendix</w:t>
      </w:r>
      <w:proofErr w:type="spellEnd"/>
      <w:r>
        <w:rPr>
          <w:rFonts w:ascii="Times New Roman" w:hAnsi="Times New Roman"/>
        </w:rPr>
        <w:t>, che affianca le tre celebri masse del Digesto, potrebbe essere stata una conseguenza della  sommossa  del  532, che avrebbe sconvolto i lavori della compilazione.</w:t>
      </w:r>
    </w:p>
  </w:footnote>
  <w:footnote w:id="36">
    <w:p w:rsidR="002E0AAC" w:rsidRDefault="002E0AAC" w:rsidP="0026094C">
      <w:pPr>
        <w:pStyle w:val="Testonormale"/>
        <w:tabs>
          <w:tab w:val="center" w:pos="1418"/>
          <w:tab w:val="left" w:pos="10206"/>
        </w:tabs>
        <w:ind w:right="567"/>
        <w:rPr>
          <w:rFonts w:ascii="Times New Roman" w:hAnsi="Times New Roman"/>
          <w:lang w:val="en-GB"/>
        </w:rPr>
      </w:pPr>
      <w:r>
        <w:rPr>
          <w:rStyle w:val="Rimandonotaapidipagina"/>
          <w:rFonts w:ascii="Times New Roman" w:hAnsi="Times New Roman"/>
        </w:rPr>
        <w:footnoteRef/>
      </w:r>
      <w:r>
        <w:rPr>
          <w:rFonts w:ascii="Times New Roman" w:hAnsi="Times New Roman"/>
          <w:lang w:val="en-GB"/>
        </w:rPr>
        <w:t xml:space="preserve"> R. </w:t>
      </w:r>
      <w:proofErr w:type="spellStart"/>
      <w:r>
        <w:rPr>
          <w:rFonts w:ascii="Times New Roman" w:hAnsi="Times New Roman"/>
          <w:lang w:val="en-GB"/>
        </w:rPr>
        <w:t>Katzoff</w:t>
      </w:r>
      <w:proofErr w:type="spellEnd"/>
      <w:r>
        <w:rPr>
          <w:rFonts w:ascii="Times New Roman" w:hAnsi="Times New Roman"/>
          <w:lang w:val="en-GB"/>
        </w:rPr>
        <w:t xml:space="preserve">,  </w:t>
      </w:r>
      <w:r>
        <w:rPr>
          <w:rFonts w:ascii="Times New Roman" w:hAnsi="Times New Roman"/>
          <w:i/>
          <w:lang w:val="en-GB"/>
        </w:rPr>
        <w:t>Sources of law in roman Egypt</w:t>
      </w:r>
      <w:r>
        <w:rPr>
          <w:rFonts w:ascii="Times New Roman" w:hAnsi="Times New Roman"/>
          <w:lang w:val="en-GB"/>
        </w:rPr>
        <w:t xml:space="preserve">,  ANRW,  II, 13, pp.  833 - 844;  Id., </w:t>
      </w:r>
      <w:r>
        <w:rPr>
          <w:rFonts w:ascii="Times New Roman" w:hAnsi="Times New Roman"/>
          <w:i/>
          <w:lang w:val="en-GB"/>
        </w:rPr>
        <w:t xml:space="preserve"> Precedents in the courts of roman  Egypt,</w:t>
      </w:r>
      <w:r>
        <w:rPr>
          <w:rFonts w:ascii="Times New Roman" w:hAnsi="Times New Roman"/>
          <w:lang w:val="en-GB"/>
        </w:rPr>
        <w:t xml:space="preserve"> ZSS, 89, 1972, pp. 256 - 292.  </w:t>
      </w:r>
    </w:p>
  </w:footnote>
  <w:footnote w:id="37">
    <w:p w:rsidR="002E0AAC" w:rsidRPr="0026094C" w:rsidRDefault="002E0AAC" w:rsidP="0026094C">
      <w:pPr>
        <w:pStyle w:val="Testonormale"/>
        <w:ind w:right="567"/>
        <w:rPr>
          <w:rFonts w:ascii="Times New Roman" w:hAnsi="Times New Roman"/>
          <w:lang w:val="en-GB"/>
        </w:rPr>
      </w:pPr>
      <w:r>
        <w:rPr>
          <w:rStyle w:val="Rimandonotaapidipagina"/>
          <w:rFonts w:ascii="Times New Roman" w:hAnsi="Times New Roman"/>
        </w:rPr>
        <w:footnoteRef/>
      </w:r>
      <w:r>
        <w:rPr>
          <w:rFonts w:ascii="Times New Roman" w:hAnsi="Times New Roman"/>
          <w:lang w:val="en-GB"/>
        </w:rPr>
        <w:t xml:space="preserve"> </w:t>
      </w:r>
      <w:r w:rsidRPr="0026094C">
        <w:rPr>
          <w:rFonts w:ascii="Times New Roman" w:eastAsia="Calibri" w:hAnsi="Times New Roman"/>
          <w:lang w:val="en-US" w:eastAsia="en-US"/>
        </w:rPr>
        <w:t xml:space="preserve">A.J. </w:t>
      </w:r>
      <w:r w:rsidRPr="0026094C">
        <w:rPr>
          <w:rFonts w:ascii="Times New Roman" w:hAnsi="Times New Roman"/>
          <w:lang w:val="en-GB"/>
        </w:rPr>
        <w:t>Wolff,  TR,  42,  1974, p.  127;</w:t>
      </w:r>
      <w:r w:rsidRPr="0026094C">
        <w:rPr>
          <w:rFonts w:ascii="Times New Roman" w:eastAsia="Calibri" w:hAnsi="Times New Roman"/>
          <w:lang w:val="en-US" w:eastAsia="en-US"/>
        </w:rPr>
        <w:t xml:space="preserve"> J. </w:t>
      </w:r>
      <w:proofErr w:type="spellStart"/>
      <w:r w:rsidRPr="0026094C">
        <w:rPr>
          <w:rFonts w:ascii="Times New Roman" w:eastAsia="Calibri" w:hAnsi="Times New Roman"/>
          <w:lang w:val="en-US" w:eastAsia="en-US"/>
        </w:rPr>
        <w:t>Mélèze</w:t>
      </w:r>
      <w:proofErr w:type="spellEnd"/>
      <w:r w:rsidRPr="0026094C">
        <w:rPr>
          <w:rFonts w:ascii="Times New Roman" w:eastAsia="Calibri" w:hAnsi="Times New Roman"/>
          <w:lang w:val="en-US" w:eastAsia="en-US"/>
        </w:rPr>
        <w:t>-</w:t>
      </w:r>
      <w:proofErr w:type="spellStart"/>
      <w:r w:rsidRPr="0026094C">
        <w:rPr>
          <w:rFonts w:ascii="Times New Roman" w:hAnsi="Times New Roman"/>
          <w:lang w:val="en-GB"/>
        </w:rPr>
        <w:t>Modrzejewski</w:t>
      </w:r>
      <w:proofErr w:type="spellEnd"/>
      <w:r w:rsidRPr="0026094C">
        <w:rPr>
          <w:rFonts w:ascii="Times New Roman" w:hAnsi="Times New Roman"/>
          <w:lang w:val="en-GB"/>
        </w:rPr>
        <w:t>, APF, 34,1988, p. 87.</w:t>
      </w:r>
    </w:p>
  </w:footnote>
  <w:footnote w:id="38">
    <w:p w:rsidR="002E0AAC" w:rsidRDefault="002E0AAC" w:rsidP="0026094C">
      <w:pPr>
        <w:pStyle w:val="Testonormale"/>
        <w:ind w:right="567"/>
        <w:rPr>
          <w:rFonts w:ascii="Times New Roman" w:hAnsi="Times New Roman"/>
        </w:rPr>
      </w:pPr>
      <w:r>
        <w:rPr>
          <w:rStyle w:val="Rimandonotaapidipagina"/>
          <w:rFonts w:ascii="Times New Roman" w:hAnsi="Times New Roman"/>
        </w:rPr>
        <w:footnoteRef/>
      </w:r>
      <w:r>
        <w:rPr>
          <w:rFonts w:ascii="Times New Roman" w:hAnsi="Times New Roman"/>
          <w:lang w:val="en-GB"/>
        </w:rPr>
        <w:t xml:space="preserve"> R. </w:t>
      </w:r>
      <w:proofErr w:type="spellStart"/>
      <w:r>
        <w:rPr>
          <w:rFonts w:ascii="Times New Roman" w:hAnsi="Times New Roman"/>
          <w:lang w:val="en-GB"/>
        </w:rPr>
        <w:t>Katzoff</w:t>
      </w:r>
      <w:proofErr w:type="spellEnd"/>
      <w:r>
        <w:rPr>
          <w:rFonts w:ascii="Times New Roman" w:hAnsi="Times New Roman"/>
          <w:lang w:val="en-GB"/>
        </w:rPr>
        <w:t>,</w:t>
      </w:r>
      <w:r>
        <w:rPr>
          <w:rFonts w:ascii="Times New Roman" w:hAnsi="Times New Roman"/>
          <w:i/>
          <w:lang w:val="en-GB"/>
        </w:rPr>
        <w:t xml:space="preserve"> On the intended use of P.  </w:t>
      </w:r>
      <w:r>
        <w:rPr>
          <w:rFonts w:ascii="Times New Roman" w:hAnsi="Times New Roman"/>
          <w:i/>
        </w:rPr>
        <w:t>Col. 123</w:t>
      </w:r>
      <w:r>
        <w:rPr>
          <w:rFonts w:ascii="Times New Roman" w:hAnsi="Times New Roman"/>
        </w:rPr>
        <w:t xml:space="preserve">, Proc.  XVI </w:t>
      </w:r>
      <w:proofErr w:type="spellStart"/>
      <w:r>
        <w:rPr>
          <w:rFonts w:ascii="Times New Roman" w:hAnsi="Times New Roman"/>
        </w:rPr>
        <w:t>Intern</w:t>
      </w:r>
      <w:proofErr w:type="spellEnd"/>
      <w:r>
        <w:rPr>
          <w:rFonts w:ascii="Times New Roman" w:hAnsi="Times New Roman"/>
        </w:rPr>
        <w:t xml:space="preserve">. </w:t>
      </w:r>
      <w:proofErr w:type="spellStart"/>
      <w:r>
        <w:rPr>
          <w:rFonts w:ascii="Times New Roman" w:hAnsi="Times New Roman"/>
        </w:rPr>
        <w:t>Congr</w:t>
      </w:r>
      <w:proofErr w:type="spellEnd"/>
      <w:r>
        <w:rPr>
          <w:rFonts w:ascii="Times New Roman" w:hAnsi="Times New Roman"/>
        </w:rPr>
        <w:t xml:space="preserve">. P., </w:t>
      </w:r>
      <w:proofErr w:type="spellStart"/>
      <w:r>
        <w:rPr>
          <w:rFonts w:ascii="Times New Roman" w:hAnsi="Times New Roman"/>
        </w:rPr>
        <w:t>Chico</w:t>
      </w:r>
      <w:proofErr w:type="spellEnd"/>
      <w:r>
        <w:rPr>
          <w:rFonts w:ascii="Times New Roman" w:hAnsi="Times New Roman"/>
        </w:rPr>
        <w:t xml:space="preserve">, 1981, pp. 559 ss.  </w:t>
      </w:r>
    </w:p>
  </w:footnote>
  <w:footnote w:id="39">
    <w:p w:rsidR="002E0AAC" w:rsidRDefault="002E0AAC" w:rsidP="0026094C">
      <w:pPr>
        <w:pStyle w:val="Testonormale"/>
        <w:ind w:right="567"/>
        <w:rPr>
          <w:rFonts w:ascii="Times New Roman" w:hAnsi="Times New Roman"/>
        </w:rPr>
      </w:pPr>
      <w:r>
        <w:rPr>
          <w:rStyle w:val="Rimandonotaapidipagina"/>
          <w:rFonts w:ascii="Times New Roman" w:hAnsi="Times New Roman"/>
        </w:rPr>
        <w:footnoteRef/>
      </w:r>
      <w:r>
        <w:rPr>
          <w:rFonts w:ascii="Times New Roman" w:hAnsi="Times New Roman"/>
        </w:rPr>
        <w:t xml:space="preserve"> G. Purpura, </w:t>
      </w:r>
      <w:r>
        <w:rPr>
          <w:rFonts w:ascii="Times New Roman" w:hAnsi="Times New Roman"/>
          <w:i/>
        </w:rPr>
        <w:t>Dalle  raccolte  di  precedenti  alle  prime codificazioni  postclassiche:  alcune  testimonianze  papiracee</w:t>
      </w:r>
      <w:r>
        <w:rPr>
          <w:rFonts w:ascii="Times New Roman" w:hAnsi="Times New Roman"/>
        </w:rPr>
        <w:t>, AUPA, 42, 1992, p. 684.</w:t>
      </w:r>
    </w:p>
  </w:footnote>
  <w:footnote w:id="40">
    <w:p w:rsidR="002E0AAC" w:rsidRPr="002E0AAC" w:rsidRDefault="002E0AAC" w:rsidP="002E0AAC">
      <w:pPr>
        <w:pStyle w:val="Testonotaapidipagina"/>
        <w:ind w:right="567"/>
        <w:rPr>
          <w:rFonts w:ascii="Times New Roman" w:hAnsi="Times New Roman"/>
          <w:lang w:val="en-US"/>
        </w:rPr>
      </w:pPr>
      <w:r>
        <w:rPr>
          <w:rStyle w:val="Rimandonotaapidipagina"/>
        </w:rPr>
        <w:footnoteRef/>
      </w:r>
      <w:r w:rsidRPr="002E0AAC">
        <w:rPr>
          <w:lang w:val="en-US"/>
        </w:rPr>
        <w:t xml:space="preserve"> </w:t>
      </w:r>
      <w:proofErr w:type="spellStart"/>
      <w:r w:rsidRPr="002E0AAC">
        <w:rPr>
          <w:rFonts w:ascii="Times New Roman" w:hAnsi="Times New Roman"/>
          <w:lang w:val="en-US"/>
        </w:rPr>
        <w:t>Riesaminato</w:t>
      </w:r>
      <w:proofErr w:type="spellEnd"/>
      <w:r w:rsidRPr="002E0AAC">
        <w:rPr>
          <w:rFonts w:ascii="Times New Roman" w:hAnsi="Times New Roman"/>
          <w:lang w:val="en-US"/>
        </w:rPr>
        <w:t xml:space="preserve"> </w:t>
      </w:r>
      <w:proofErr w:type="spellStart"/>
      <w:r w:rsidRPr="002E0AAC">
        <w:rPr>
          <w:rFonts w:ascii="Times New Roman" w:hAnsi="Times New Roman"/>
          <w:lang w:val="en-US"/>
        </w:rPr>
        <w:t>da</w:t>
      </w:r>
      <w:proofErr w:type="spellEnd"/>
      <w:r w:rsidRPr="002E0AAC">
        <w:rPr>
          <w:rFonts w:ascii="Times New Roman" w:hAnsi="Times New Roman"/>
          <w:lang w:val="en-US"/>
        </w:rPr>
        <w:t xml:space="preserve"> J. Oliver, </w:t>
      </w:r>
      <w:r w:rsidRPr="002E0AAC">
        <w:rPr>
          <w:rFonts w:ascii="Times New Roman" w:hAnsi="Times New Roman"/>
          <w:i/>
          <w:lang w:val="en-US"/>
        </w:rPr>
        <w:t>Greek constitutions of early roman emperors from</w:t>
      </w:r>
      <w:r>
        <w:rPr>
          <w:rFonts w:ascii="Times New Roman" w:hAnsi="Times New Roman"/>
          <w:i/>
          <w:lang w:val="en-US"/>
        </w:rPr>
        <w:t xml:space="preserve"> inscriptions and papyri</w:t>
      </w:r>
      <w:r>
        <w:rPr>
          <w:rFonts w:ascii="Times New Roman" w:hAnsi="Times New Roman"/>
          <w:lang w:val="en-US"/>
        </w:rPr>
        <w:t>, Philadelphia, 1989 (</w:t>
      </w:r>
      <w:proofErr w:type="spellStart"/>
      <w:r>
        <w:rPr>
          <w:rFonts w:ascii="Times New Roman" w:hAnsi="Times New Roman"/>
          <w:lang w:val="en-US"/>
        </w:rPr>
        <w:t>d’ora</w:t>
      </w:r>
      <w:proofErr w:type="spellEnd"/>
      <w:r>
        <w:rPr>
          <w:rFonts w:ascii="Times New Roman" w:hAnsi="Times New Roman"/>
          <w:lang w:val="en-US"/>
        </w:rPr>
        <w:t xml:space="preserve"> in poi cit. come Oliver),</w:t>
      </w:r>
      <w:r w:rsidRPr="002E0AAC">
        <w:rPr>
          <w:rFonts w:ascii="Times New Roman" w:hAnsi="Times New Roman"/>
          <w:lang w:val="en-US"/>
        </w:rPr>
        <w:t xml:space="preserve"> 290-293.</w:t>
      </w:r>
    </w:p>
  </w:footnote>
  <w:footnote w:id="41">
    <w:p w:rsidR="002E0AAC" w:rsidRPr="00F02D2E" w:rsidRDefault="002E0AAC" w:rsidP="00F02D2E">
      <w:pPr>
        <w:autoSpaceDE w:val="0"/>
        <w:autoSpaceDN w:val="0"/>
        <w:adjustRightInd w:val="0"/>
        <w:spacing w:after="0" w:line="240" w:lineRule="auto"/>
        <w:ind w:right="567"/>
        <w:rPr>
          <w:rFonts w:ascii="Times New Roman" w:hAnsi="Times New Roman"/>
          <w:sz w:val="20"/>
          <w:szCs w:val="20"/>
        </w:rPr>
      </w:pPr>
      <w:r w:rsidRPr="00F02D2E">
        <w:rPr>
          <w:rStyle w:val="Rimandonotaapidipagina"/>
          <w:rFonts w:ascii="Times New Roman" w:hAnsi="Times New Roman"/>
          <w:sz w:val="20"/>
          <w:szCs w:val="20"/>
        </w:rPr>
        <w:footnoteRef/>
      </w:r>
      <w:r w:rsidRPr="00F02D2E">
        <w:rPr>
          <w:rFonts w:ascii="Times New Roman" w:hAnsi="Times New Roman"/>
          <w:sz w:val="20"/>
          <w:szCs w:val="20"/>
        </w:rPr>
        <w:t xml:space="preserve"> </w:t>
      </w:r>
      <w:r w:rsidRPr="00F02D2E">
        <w:rPr>
          <w:rFonts w:ascii="Times New Roman" w:hAnsi="Times New Roman"/>
          <w:sz w:val="20"/>
          <w:szCs w:val="20"/>
          <w:lang w:eastAsia="it-IT"/>
        </w:rPr>
        <w:t xml:space="preserve">L. </w:t>
      </w:r>
      <w:proofErr w:type="spellStart"/>
      <w:r w:rsidRPr="00F02D2E">
        <w:rPr>
          <w:rFonts w:ascii="Times New Roman" w:hAnsi="Times New Roman"/>
          <w:sz w:val="20"/>
          <w:szCs w:val="20"/>
          <w:lang w:eastAsia="it-IT"/>
        </w:rPr>
        <w:t>Migliardi</w:t>
      </w:r>
      <w:proofErr w:type="spellEnd"/>
      <w:r w:rsidRPr="00F02D2E">
        <w:rPr>
          <w:rFonts w:ascii="Times New Roman" w:hAnsi="Times New Roman"/>
          <w:sz w:val="20"/>
          <w:szCs w:val="20"/>
          <w:lang w:eastAsia="it-IT"/>
        </w:rPr>
        <w:t xml:space="preserve">, </w:t>
      </w:r>
      <w:r w:rsidRPr="00F02D2E">
        <w:rPr>
          <w:rFonts w:ascii="Times New Roman" w:hAnsi="Times New Roman"/>
          <w:i/>
          <w:iCs/>
          <w:sz w:val="20"/>
          <w:szCs w:val="20"/>
          <w:lang w:eastAsia="it-IT"/>
        </w:rPr>
        <w:t xml:space="preserve">Catene di costituzioni imperiali nelle fonti </w:t>
      </w:r>
      <w:r w:rsidRPr="00F02D2E">
        <w:rPr>
          <w:rFonts w:ascii="Times New Roman" w:hAnsi="Times New Roman"/>
          <w:sz w:val="20"/>
          <w:szCs w:val="20"/>
          <w:lang w:eastAsia="it-IT"/>
        </w:rPr>
        <w:t xml:space="preserve"> </w:t>
      </w:r>
      <w:r w:rsidRPr="00F02D2E">
        <w:rPr>
          <w:rFonts w:ascii="Times New Roman" w:hAnsi="Times New Roman"/>
          <w:i/>
          <w:iCs/>
          <w:sz w:val="20"/>
          <w:szCs w:val="20"/>
          <w:lang w:eastAsia="it-IT"/>
        </w:rPr>
        <w:t>papirologiche: brevi riflessioni</w:t>
      </w:r>
      <w:r w:rsidRPr="00F02D2E">
        <w:rPr>
          <w:rFonts w:ascii="Times New Roman" w:hAnsi="Times New Roman"/>
          <w:sz w:val="20"/>
          <w:szCs w:val="20"/>
          <w:lang w:eastAsia="it-IT"/>
        </w:rPr>
        <w:t xml:space="preserve">, Atti dell’Accademia Romanistica Costantiniana, XVI Convegno </w:t>
      </w:r>
      <w:proofErr w:type="spellStart"/>
      <w:r w:rsidRPr="00F02D2E">
        <w:rPr>
          <w:rFonts w:ascii="Times New Roman" w:hAnsi="Times New Roman"/>
          <w:sz w:val="20"/>
          <w:szCs w:val="20"/>
          <w:lang w:eastAsia="it-IT"/>
        </w:rPr>
        <w:t>Intern</w:t>
      </w:r>
      <w:proofErr w:type="spellEnd"/>
      <w:r w:rsidRPr="00F02D2E">
        <w:rPr>
          <w:rFonts w:ascii="Times New Roman" w:hAnsi="Times New Roman"/>
          <w:sz w:val="20"/>
          <w:szCs w:val="20"/>
          <w:lang w:eastAsia="it-IT"/>
        </w:rPr>
        <w:t xml:space="preserve">. in onore di </w:t>
      </w:r>
      <w:proofErr w:type="spellStart"/>
      <w:r w:rsidRPr="00F02D2E">
        <w:rPr>
          <w:rFonts w:ascii="Times New Roman" w:hAnsi="Times New Roman"/>
          <w:sz w:val="20"/>
          <w:szCs w:val="20"/>
          <w:lang w:eastAsia="it-IT"/>
        </w:rPr>
        <w:t>M.J.</w:t>
      </w:r>
      <w:proofErr w:type="spellEnd"/>
      <w:r w:rsidRPr="00F02D2E">
        <w:rPr>
          <w:rFonts w:ascii="Times New Roman" w:hAnsi="Times New Roman"/>
          <w:sz w:val="20"/>
          <w:szCs w:val="20"/>
          <w:lang w:eastAsia="it-IT"/>
        </w:rPr>
        <w:t xml:space="preserve"> García </w:t>
      </w:r>
      <w:proofErr w:type="spellStart"/>
      <w:r w:rsidRPr="00F02D2E">
        <w:rPr>
          <w:rFonts w:ascii="Times New Roman" w:hAnsi="Times New Roman"/>
          <w:sz w:val="20"/>
          <w:szCs w:val="20"/>
          <w:lang w:eastAsia="it-IT"/>
        </w:rPr>
        <w:t>Garrido</w:t>
      </w:r>
      <w:proofErr w:type="spellEnd"/>
      <w:r w:rsidRPr="00F02D2E">
        <w:rPr>
          <w:rFonts w:ascii="Times New Roman" w:hAnsi="Times New Roman"/>
          <w:sz w:val="20"/>
          <w:szCs w:val="20"/>
          <w:lang w:eastAsia="it-IT"/>
        </w:rPr>
        <w:t>, 12-14 giugno 2003, Perugia 2007, pp. 426 ss.</w:t>
      </w:r>
    </w:p>
  </w:footnote>
  <w:footnote w:id="42">
    <w:p w:rsidR="002E0AAC" w:rsidRPr="00F02D2E" w:rsidRDefault="002E0AAC" w:rsidP="006B1F1A">
      <w:pPr>
        <w:autoSpaceDE w:val="0"/>
        <w:autoSpaceDN w:val="0"/>
        <w:adjustRightInd w:val="0"/>
        <w:spacing w:after="0" w:line="240" w:lineRule="auto"/>
        <w:ind w:right="567"/>
        <w:rPr>
          <w:rFonts w:ascii="Times New Roman" w:hAnsi="Times New Roman"/>
          <w:sz w:val="20"/>
          <w:szCs w:val="20"/>
          <w:lang w:eastAsia="it-IT"/>
        </w:rPr>
      </w:pPr>
      <w:r w:rsidRPr="00F02D2E">
        <w:rPr>
          <w:rStyle w:val="Rimandonotaapidipagina"/>
          <w:rFonts w:ascii="Times New Roman" w:hAnsi="Times New Roman"/>
          <w:sz w:val="20"/>
          <w:szCs w:val="20"/>
        </w:rPr>
        <w:footnoteRef/>
      </w:r>
      <w:r w:rsidRPr="00F02D2E">
        <w:rPr>
          <w:rFonts w:ascii="Times New Roman" w:hAnsi="Times New Roman"/>
          <w:sz w:val="20"/>
          <w:szCs w:val="20"/>
        </w:rPr>
        <w:t xml:space="preserve"> </w:t>
      </w:r>
      <w:r w:rsidRPr="00F02D2E">
        <w:rPr>
          <w:rFonts w:ascii="Times New Roman" w:hAnsi="Times New Roman"/>
          <w:sz w:val="20"/>
          <w:szCs w:val="20"/>
          <w:lang w:eastAsia="it-IT"/>
        </w:rPr>
        <w:t xml:space="preserve">Ad esempio, le tre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(I-II-IV) del 36/5 – 30 e una concessione della cittadinanza dell’inverno 36/35 a.C. </w:t>
      </w:r>
      <w:proofErr w:type="spellStart"/>
      <w:r w:rsidRPr="00F02D2E">
        <w:rPr>
          <w:rFonts w:ascii="Times New Roman" w:hAnsi="Times New Roman"/>
          <w:i/>
          <w:iCs/>
          <w:sz w:val="20"/>
          <w:szCs w:val="20"/>
          <w:lang w:eastAsia="it-IT"/>
        </w:rPr>
        <w:t>Octaviani</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Caesaris</w:t>
      </w:r>
      <w:proofErr w:type="spellEnd"/>
      <w:r w:rsidRPr="00F02D2E">
        <w:rPr>
          <w:rFonts w:ascii="Times New Roman" w:hAnsi="Times New Roman"/>
          <w:i/>
          <w:iCs/>
          <w:sz w:val="20"/>
          <w:szCs w:val="20"/>
          <w:lang w:eastAsia="it-IT"/>
        </w:rPr>
        <w:t xml:space="preserve"> de </w:t>
      </w:r>
      <w:proofErr w:type="spellStart"/>
      <w:r w:rsidRPr="00F02D2E">
        <w:rPr>
          <w:rFonts w:ascii="Times New Roman" w:hAnsi="Times New Roman"/>
          <w:i/>
          <w:iCs/>
          <w:sz w:val="20"/>
          <w:szCs w:val="20"/>
          <w:lang w:eastAsia="it-IT"/>
        </w:rPr>
        <w:t>Seleuco</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navarcha</w:t>
      </w:r>
      <w:proofErr w:type="spellEnd"/>
      <w:r w:rsidRPr="00F02D2E">
        <w:rPr>
          <w:rFonts w:ascii="Times New Roman" w:hAnsi="Times New Roman"/>
          <w:sz w:val="20"/>
          <w:szCs w:val="20"/>
          <w:lang w:eastAsia="it-IT"/>
        </w:rPr>
        <w:t xml:space="preserve">; i cinque </w:t>
      </w:r>
      <w:proofErr w:type="spellStart"/>
      <w:r w:rsidRPr="00F02D2E">
        <w:rPr>
          <w:rFonts w:ascii="Times New Roman" w:hAnsi="Times New Roman"/>
          <w:i/>
          <w:iCs/>
          <w:sz w:val="20"/>
          <w:szCs w:val="20"/>
          <w:lang w:eastAsia="it-IT"/>
        </w:rPr>
        <w:t>Edicta</w:t>
      </w:r>
      <w:proofErr w:type="spellEnd"/>
      <w:r w:rsidRPr="00F02D2E">
        <w:rPr>
          <w:rFonts w:ascii="Times New Roman" w:hAnsi="Times New Roman"/>
          <w:i/>
          <w:iCs/>
          <w:sz w:val="20"/>
          <w:szCs w:val="20"/>
          <w:lang w:eastAsia="it-IT"/>
        </w:rPr>
        <w:t xml:space="preserve"> Augusti ad </w:t>
      </w:r>
      <w:proofErr w:type="spellStart"/>
      <w:r w:rsidRPr="00F02D2E">
        <w:rPr>
          <w:rFonts w:ascii="Times New Roman" w:hAnsi="Times New Roman"/>
          <w:i/>
          <w:iCs/>
          <w:sz w:val="20"/>
          <w:szCs w:val="20"/>
          <w:lang w:eastAsia="it-IT"/>
        </w:rPr>
        <w:t>Cyrenenses</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del 6/4 a.C. sul processo e il testo del SC </w:t>
      </w:r>
      <w:proofErr w:type="spellStart"/>
      <w:r w:rsidRPr="00F02D2E">
        <w:rPr>
          <w:rFonts w:ascii="Times New Roman" w:hAnsi="Times New Roman"/>
          <w:sz w:val="20"/>
          <w:szCs w:val="20"/>
          <w:lang w:eastAsia="it-IT"/>
        </w:rPr>
        <w:t>Calvisiano</w:t>
      </w:r>
      <w:proofErr w:type="spellEnd"/>
      <w:r w:rsidRPr="00F02D2E">
        <w:rPr>
          <w:rFonts w:ascii="Times New Roman" w:hAnsi="Times New Roman"/>
          <w:sz w:val="20"/>
          <w:szCs w:val="20"/>
          <w:lang w:eastAsia="it-IT"/>
        </w:rPr>
        <w:t xml:space="preserve">; le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Traiano agli abitanti di Delfi del 98 d.C. sulla questione relativa a </w:t>
      </w:r>
      <w:proofErr w:type="spellStart"/>
      <w:r w:rsidRPr="00F02D2E">
        <w:rPr>
          <w:rFonts w:ascii="Times New Roman" w:hAnsi="Times New Roman"/>
          <w:sz w:val="20"/>
          <w:szCs w:val="20"/>
          <w:lang w:eastAsia="it-IT"/>
        </w:rPr>
        <w:t>Pitodoro</w:t>
      </w:r>
      <w:proofErr w:type="spellEnd"/>
      <w:r w:rsidRPr="00F02D2E">
        <w:rPr>
          <w:rFonts w:ascii="Times New Roman" w:hAnsi="Times New Roman"/>
          <w:sz w:val="20"/>
          <w:szCs w:val="20"/>
          <w:lang w:eastAsia="it-IT"/>
        </w:rPr>
        <w:t>; l’</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Traiano a </w:t>
      </w:r>
      <w:proofErr w:type="spellStart"/>
      <w:r w:rsidRPr="00F02D2E">
        <w:rPr>
          <w:rFonts w:ascii="Times New Roman" w:hAnsi="Times New Roman"/>
          <w:sz w:val="20"/>
          <w:szCs w:val="20"/>
          <w:lang w:eastAsia="it-IT"/>
        </w:rPr>
        <w:t>Claudiano</w:t>
      </w:r>
      <w:proofErr w:type="spellEnd"/>
      <w:r w:rsidRPr="00F02D2E">
        <w:rPr>
          <w:rFonts w:ascii="Times New Roman" w:hAnsi="Times New Roman"/>
          <w:sz w:val="20"/>
          <w:szCs w:val="20"/>
          <w:lang w:eastAsia="it-IT"/>
        </w:rPr>
        <w:t xml:space="preserve"> con altre tre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al medesimo destinatario a </w:t>
      </w:r>
      <w:proofErr w:type="spellStart"/>
      <w:r w:rsidRPr="00F02D2E">
        <w:rPr>
          <w:rFonts w:ascii="Times New Roman" w:hAnsi="Times New Roman"/>
          <w:sz w:val="20"/>
          <w:szCs w:val="20"/>
          <w:lang w:eastAsia="it-IT"/>
        </w:rPr>
        <w:t>Pessinunte</w:t>
      </w:r>
      <w:proofErr w:type="spellEnd"/>
      <w:r w:rsidRPr="00F02D2E">
        <w:rPr>
          <w:rFonts w:ascii="Times New Roman" w:hAnsi="Times New Roman"/>
          <w:sz w:val="20"/>
          <w:szCs w:val="20"/>
          <w:lang w:eastAsia="it-IT"/>
        </w:rPr>
        <w:t xml:space="preserve"> del 114–116 d.C.; l’</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Traiani</w:t>
      </w:r>
      <w:proofErr w:type="spellEnd"/>
      <w:r w:rsidRPr="00F02D2E">
        <w:rPr>
          <w:rFonts w:ascii="Times New Roman" w:hAnsi="Times New Roman"/>
          <w:i/>
          <w:iCs/>
          <w:sz w:val="20"/>
          <w:szCs w:val="20"/>
          <w:lang w:eastAsia="it-IT"/>
        </w:rPr>
        <w:t xml:space="preserve"> ad </w:t>
      </w:r>
      <w:proofErr w:type="spellStart"/>
      <w:r w:rsidRPr="00F02D2E">
        <w:rPr>
          <w:rFonts w:ascii="Times New Roman" w:hAnsi="Times New Roman"/>
          <w:i/>
          <w:iCs/>
          <w:sz w:val="20"/>
          <w:szCs w:val="20"/>
          <w:lang w:eastAsia="it-IT"/>
        </w:rPr>
        <w:t>ephebos</w:t>
      </w:r>
      <w:proofErr w:type="spellEnd"/>
      <w:r w:rsidRPr="00F02D2E">
        <w:rPr>
          <w:rFonts w:ascii="Times New Roman" w:hAnsi="Times New Roman"/>
          <w:i/>
          <w:iCs/>
          <w:sz w:val="20"/>
          <w:szCs w:val="20"/>
          <w:lang w:eastAsia="it-IT"/>
        </w:rPr>
        <w:t xml:space="preserve"> Pergami </w:t>
      </w:r>
      <w:r w:rsidRPr="00F02D2E">
        <w:rPr>
          <w:rFonts w:ascii="Times New Roman" w:hAnsi="Times New Roman"/>
          <w:sz w:val="20"/>
          <w:szCs w:val="20"/>
          <w:lang w:eastAsia="it-IT"/>
        </w:rPr>
        <w:t xml:space="preserve">tra il 114 ed il 116 d.C., in una lunga iscrizione frammentaria insieme a tre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Adriano agli abitanti di Pergamo; i </w:t>
      </w:r>
      <w:r w:rsidRPr="00F02D2E">
        <w:rPr>
          <w:rFonts w:ascii="Times New Roman" w:hAnsi="Times New Roman"/>
          <w:i/>
          <w:iCs/>
          <w:sz w:val="20"/>
          <w:szCs w:val="20"/>
          <w:lang w:eastAsia="it-IT"/>
        </w:rPr>
        <w:t xml:space="preserve">Privilegia concessa </w:t>
      </w:r>
      <w:proofErr w:type="spellStart"/>
      <w:r w:rsidRPr="00F02D2E">
        <w:rPr>
          <w:rFonts w:ascii="Times New Roman" w:hAnsi="Times New Roman"/>
          <w:i/>
          <w:iCs/>
          <w:sz w:val="20"/>
          <w:szCs w:val="20"/>
          <w:lang w:eastAsia="it-IT"/>
        </w:rPr>
        <w:t>Dianae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Ephesiae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ab</w:t>
      </w:r>
      <w:proofErr w:type="spellEnd"/>
      <w:r w:rsidRPr="00F02D2E">
        <w:rPr>
          <w:rFonts w:ascii="Times New Roman" w:hAnsi="Times New Roman"/>
          <w:i/>
          <w:iCs/>
          <w:sz w:val="20"/>
          <w:szCs w:val="20"/>
          <w:lang w:eastAsia="it-IT"/>
        </w:rPr>
        <w:t xml:space="preserve"> imperatore </w:t>
      </w:r>
      <w:proofErr w:type="spellStart"/>
      <w:r w:rsidRPr="00F02D2E">
        <w:rPr>
          <w:rFonts w:ascii="Times New Roman" w:hAnsi="Times New Roman"/>
          <w:i/>
          <w:iCs/>
          <w:sz w:val="20"/>
          <w:szCs w:val="20"/>
          <w:lang w:eastAsia="it-IT"/>
        </w:rPr>
        <w:t>Hadriano</w:t>
      </w:r>
      <w:proofErr w:type="spellEnd"/>
      <w:r w:rsidRPr="00F02D2E">
        <w:rPr>
          <w:rFonts w:ascii="Times New Roman" w:hAnsi="Times New Roman"/>
          <w:sz w:val="20"/>
          <w:szCs w:val="20"/>
          <w:lang w:eastAsia="it-IT"/>
        </w:rPr>
        <w:t>; l’</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Plotinae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et</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rescriptum</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Hadriani</w:t>
      </w:r>
      <w:proofErr w:type="spellEnd"/>
      <w:r w:rsidRPr="00F02D2E">
        <w:rPr>
          <w:rFonts w:ascii="Times New Roman" w:hAnsi="Times New Roman"/>
          <w:i/>
          <w:iCs/>
          <w:sz w:val="20"/>
          <w:szCs w:val="20"/>
          <w:lang w:eastAsia="it-IT"/>
        </w:rPr>
        <w:t xml:space="preserve"> de </w:t>
      </w:r>
      <w:proofErr w:type="spellStart"/>
      <w:r w:rsidRPr="00F02D2E">
        <w:rPr>
          <w:rFonts w:ascii="Times New Roman" w:hAnsi="Times New Roman"/>
          <w:i/>
          <w:iCs/>
          <w:sz w:val="20"/>
          <w:szCs w:val="20"/>
          <w:lang w:eastAsia="it-IT"/>
        </w:rPr>
        <w:t>schola</w:t>
      </w:r>
      <w:proofErr w:type="spellEnd"/>
      <w:r w:rsidRPr="00F02D2E">
        <w:rPr>
          <w:rFonts w:ascii="Times New Roman" w:hAnsi="Times New Roman"/>
          <w:i/>
          <w:iCs/>
          <w:sz w:val="20"/>
          <w:szCs w:val="20"/>
          <w:lang w:eastAsia="it-IT"/>
        </w:rPr>
        <w:t xml:space="preserve"> epicurea </w:t>
      </w:r>
      <w:proofErr w:type="spellStart"/>
      <w:r w:rsidRPr="00F02D2E">
        <w:rPr>
          <w:rFonts w:ascii="Times New Roman" w:hAnsi="Times New Roman"/>
          <w:i/>
          <w:iCs/>
          <w:sz w:val="20"/>
          <w:szCs w:val="20"/>
          <w:lang w:eastAsia="it-IT"/>
        </w:rPr>
        <w:t>Atheniensi</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del 121 d.C.; le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Hadriani</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agli abitanti di Delfo del 125 d.C. sulle </w:t>
      </w:r>
      <w:proofErr w:type="spellStart"/>
      <w:r w:rsidRPr="00F02D2E">
        <w:rPr>
          <w:rFonts w:ascii="Times New Roman" w:hAnsi="Times New Roman"/>
          <w:sz w:val="20"/>
          <w:szCs w:val="20"/>
          <w:lang w:eastAsia="it-IT"/>
        </w:rPr>
        <w:t>amfizionie</w:t>
      </w:r>
      <w:proofErr w:type="spellEnd"/>
      <w:r w:rsidRPr="00F02D2E">
        <w:rPr>
          <w:rFonts w:ascii="Times New Roman" w:hAnsi="Times New Roman"/>
          <w:sz w:val="20"/>
          <w:szCs w:val="20"/>
          <w:lang w:eastAsia="it-IT"/>
        </w:rPr>
        <w:t xml:space="preserve">; le tre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Hadriani</w:t>
      </w:r>
      <w:proofErr w:type="spellEnd"/>
      <w:r w:rsidRPr="00F02D2E">
        <w:rPr>
          <w:rFonts w:ascii="Times New Roman" w:hAnsi="Times New Roman"/>
          <w:i/>
          <w:iCs/>
          <w:sz w:val="20"/>
          <w:szCs w:val="20"/>
          <w:lang w:eastAsia="it-IT"/>
        </w:rPr>
        <w:t xml:space="preserve"> ad </w:t>
      </w:r>
      <w:proofErr w:type="spellStart"/>
      <w:r w:rsidRPr="00F02D2E">
        <w:rPr>
          <w:rFonts w:ascii="Times New Roman" w:hAnsi="Times New Roman"/>
          <w:i/>
          <w:iCs/>
          <w:sz w:val="20"/>
          <w:szCs w:val="20"/>
          <w:lang w:eastAsia="it-IT"/>
        </w:rPr>
        <w:t>Stratonicenses</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Hadrianopolitas</w:t>
      </w:r>
      <w:proofErr w:type="spellEnd"/>
      <w:r w:rsidRPr="00F02D2E">
        <w:rPr>
          <w:rFonts w:ascii="Times New Roman" w:hAnsi="Times New Roman"/>
          <w:sz w:val="20"/>
          <w:szCs w:val="20"/>
          <w:lang w:eastAsia="it-IT"/>
        </w:rPr>
        <w:t xml:space="preserve">, la prima del 127 d.C.; le sette o otto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di Adriano al sinodo ateniese degli artisti di Dionisio Coreo; l’</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Hadriani</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a </w:t>
      </w:r>
      <w:proofErr w:type="spellStart"/>
      <w:r w:rsidRPr="00F02D2E">
        <w:rPr>
          <w:rFonts w:ascii="Times New Roman" w:hAnsi="Times New Roman"/>
          <w:sz w:val="20"/>
          <w:szCs w:val="20"/>
          <w:lang w:eastAsia="it-IT"/>
        </w:rPr>
        <w:t>Cirene</w:t>
      </w:r>
      <w:proofErr w:type="spellEnd"/>
      <w:r w:rsidRPr="00F02D2E">
        <w:rPr>
          <w:rFonts w:ascii="Times New Roman" w:hAnsi="Times New Roman"/>
          <w:sz w:val="20"/>
          <w:szCs w:val="20"/>
          <w:lang w:eastAsia="it-IT"/>
        </w:rPr>
        <w:t xml:space="preserve"> ed altri capitoli di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Hadriani</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seguite da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Antonino Pio </w:t>
      </w:r>
      <w:r w:rsidR="006B1F1A">
        <w:rPr>
          <w:rFonts w:ascii="Times New Roman" w:hAnsi="Times New Roman"/>
          <w:sz w:val="20"/>
          <w:szCs w:val="20"/>
          <w:lang w:eastAsia="it-IT"/>
        </w:rPr>
        <w:t>[</w:t>
      </w:r>
      <w:r>
        <w:rPr>
          <w:rFonts w:ascii="Times New Roman" w:hAnsi="Times New Roman"/>
          <w:sz w:val="20"/>
          <w:szCs w:val="20"/>
          <w:lang w:eastAsia="it-IT"/>
        </w:rPr>
        <w:t xml:space="preserve">F. </w:t>
      </w:r>
      <w:r w:rsidRPr="00F02D2E">
        <w:rPr>
          <w:rFonts w:ascii="Times New Roman" w:hAnsi="Times New Roman"/>
          <w:sz w:val="20"/>
          <w:szCs w:val="20"/>
          <w:lang w:eastAsia="it-IT"/>
        </w:rPr>
        <w:t>Martin</w:t>
      </w:r>
      <w:r>
        <w:rPr>
          <w:rFonts w:ascii="Times New Roman" w:hAnsi="Times New Roman"/>
          <w:sz w:val="20"/>
          <w:szCs w:val="20"/>
          <w:lang w:eastAsia="it-IT"/>
        </w:rPr>
        <w:t xml:space="preserve">, </w:t>
      </w:r>
      <w:r>
        <w:rPr>
          <w:rFonts w:ascii="Times New Roman" w:hAnsi="Times New Roman"/>
          <w:i/>
          <w:sz w:val="20"/>
          <w:szCs w:val="20"/>
          <w:lang w:eastAsia="it-IT"/>
        </w:rPr>
        <w:t xml:space="preserve">La </w:t>
      </w:r>
      <w:proofErr w:type="spellStart"/>
      <w:r>
        <w:rPr>
          <w:rFonts w:ascii="Times New Roman" w:hAnsi="Times New Roman"/>
          <w:i/>
          <w:sz w:val="20"/>
          <w:szCs w:val="20"/>
          <w:lang w:eastAsia="it-IT"/>
        </w:rPr>
        <w:t>documentacion</w:t>
      </w:r>
      <w:proofErr w:type="spellEnd"/>
      <w:r>
        <w:rPr>
          <w:rFonts w:ascii="Times New Roman" w:hAnsi="Times New Roman"/>
          <w:i/>
          <w:sz w:val="20"/>
          <w:szCs w:val="20"/>
          <w:lang w:eastAsia="it-IT"/>
        </w:rPr>
        <w:t xml:space="preserve"> </w:t>
      </w:r>
      <w:proofErr w:type="spellStart"/>
      <w:r>
        <w:rPr>
          <w:rFonts w:ascii="Times New Roman" w:hAnsi="Times New Roman"/>
          <w:i/>
          <w:sz w:val="20"/>
          <w:szCs w:val="20"/>
          <w:lang w:eastAsia="it-IT"/>
        </w:rPr>
        <w:t>griega</w:t>
      </w:r>
      <w:proofErr w:type="spellEnd"/>
      <w:r>
        <w:rPr>
          <w:rFonts w:ascii="Times New Roman" w:hAnsi="Times New Roman"/>
          <w:i/>
          <w:sz w:val="20"/>
          <w:szCs w:val="20"/>
          <w:lang w:eastAsia="it-IT"/>
        </w:rPr>
        <w:t xml:space="preserve"> de la cancelleria del </w:t>
      </w:r>
      <w:proofErr w:type="spellStart"/>
      <w:r>
        <w:rPr>
          <w:rFonts w:ascii="Times New Roman" w:hAnsi="Times New Roman"/>
          <w:i/>
          <w:sz w:val="20"/>
          <w:szCs w:val="20"/>
          <w:lang w:eastAsia="it-IT"/>
        </w:rPr>
        <w:t>emperador</w:t>
      </w:r>
      <w:proofErr w:type="spellEnd"/>
      <w:r>
        <w:rPr>
          <w:rFonts w:ascii="Times New Roman" w:hAnsi="Times New Roman"/>
          <w:i/>
          <w:sz w:val="20"/>
          <w:szCs w:val="20"/>
          <w:lang w:eastAsia="it-IT"/>
        </w:rPr>
        <w:t xml:space="preserve"> Adriano</w:t>
      </w:r>
      <w:r>
        <w:rPr>
          <w:rFonts w:ascii="Times New Roman" w:hAnsi="Times New Roman"/>
          <w:sz w:val="20"/>
          <w:szCs w:val="20"/>
          <w:lang w:eastAsia="it-IT"/>
        </w:rPr>
        <w:t>, Pamplona, 1982</w:t>
      </w:r>
      <w:r w:rsidR="006B1F1A">
        <w:rPr>
          <w:rFonts w:ascii="Times New Roman" w:hAnsi="Times New Roman"/>
          <w:sz w:val="20"/>
          <w:szCs w:val="20"/>
          <w:lang w:eastAsia="it-IT"/>
        </w:rPr>
        <w:t xml:space="preserve"> </w:t>
      </w:r>
      <w:r w:rsidR="006B1F1A" w:rsidRPr="006B1F1A">
        <w:rPr>
          <w:rFonts w:ascii="Times New Roman" w:hAnsi="Times New Roman"/>
          <w:sz w:val="20"/>
          <w:szCs w:val="20"/>
        </w:rPr>
        <w:t xml:space="preserve">(d’ora in poi cit. come </w:t>
      </w:r>
      <w:r w:rsidR="006B1F1A">
        <w:rPr>
          <w:rFonts w:ascii="Times New Roman" w:hAnsi="Times New Roman"/>
          <w:sz w:val="20"/>
          <w:szCs w:val="20"/>
        </w:rPr>
        <w:t>Martin</w:t>
      </w:r>
      <w:r w:rsidR="006B1F1A" w:rsidRPr="006B1F1A">
        <w:rPr>
          <w:rFonts w:ascii="Times New Roman" w:hAnsi="Times New Roman"/>
          <w:sz w:val="20"/>
          <w:szCs w:val="20"/>
        </w:rPr>
        <w:t>)]</w:t>
      </w:r>
      <w:r w:rsidRPr="006B1F1A">
        <w:rPr>
          <w:rFonts w:ascii="Times New Roman" w:hAnsi="Times New Roman"/>
          <w:sz w:val="20"/>
          <w:szCs w:val="20"/>
          <w:lang w:eastAsia="it-IT"/>
        </w:rPr>
        <w:t xml:space="preserve"> </w:t>
      </w:r>
      <w:r w:rsidRPr="00F02D2E">
        <w:rPr>
          <w:rFonts w:ascii="Times New Roman" w:hAnsi="Times New Roman"/>
          <w:sz w:val="20"/>
          <w:szCs w:val="20"/>
          <w:lang w:eastAsia="it-IT"/>
        </w:rPr>
        <w:t>4 = Oliver 120 –124); l’</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Hadriani</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agli arconti, consiglio e popolo di </w:t>
      </w:r>
      <w:proofErr w:type="spellStart"/>
      <w:r w:rsidRPr="00F02D2E">
        <w:rPr>
          <w:rFonts w:ascii="Times New Roman" w:hAnsi="Times New Roman"/>
          <w:sz w:val="20"/>
          <w:szCs w:val="20"/>
          <w:lang w:eastAsia="it-IT"/>
        </w:rPr>
        <w:t>Coronea</w:t>
      </w:r>
      <w:proofErr w:type="spellEnd"/>
      <w:r w:rsidRPr="00F02D2E">
        <w:rPr>
          <w:rFonts w:ascii="Times New Roman" w:hAnsi="Times New Roman"/>
          <w:sz w:val="20"/>
          <w:szCs w:val="20"/>
          <w:lang w:eastAsia="it-IT"/>
        </w:rPr>
        <w:t xml:space="preserve"> sul controllo delle inondazioni del 125 d.C. con undici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di Adriano, di un imperatore sconosciuto, di Antonino Pio, di Marco Aurelio e Lucio Vero, tracciate su di un muro in Beozia dal 125 al 161 d.C.</w:t>
      </w:r>
      <w:r w:rsidR="006B1F1A">
        <w:rPr>
          <w:rFonts w:ascii="Times New Roman" w:hAnsi="Times New Roman"/>
          <w:sz w:val="20"/>
          <w:szCs w:val="20"/>
          <w:lang w:eastAsia="it-IT"/>
        </w:rPr>
        <w:t xml:space="preserve"> </w:t>
      </w:r>
      <w:r w:rsidRPr="00F02D2E">
        <w:rPr>
          <w:rFonts w:ascii="Times New Roman" w:hAnsi="Times New Roman"/>
          <w:sz w:val="20"/>
          <w:szCs w:val="20"/>
          <w:lang w:eastAsia="it-IT"/>
        </w:rPr>
        <w:t xml:space="preserve">e non disposte in ordine cronologico (Oliver 108 – 118); due provvedimenti di Antonino Pio (?) alla città di </w:t>
      </w:r>
      <w:proofErr w:type="spellStart"/>
      <w:r w:rsidRPr="00F02D2E">
        <w:rPr>
          <w:rFonts w:ascii="Times New Roman" w:hAnsi="Times New Roman"/>
          <w:sz w:val="20"/>
          <w:szCs w:val="20"/>
          <w:lang w:eastAsia="it-IT"/>
        </w:rPr>
        <w:t>Odesso</w:t>
      </w:r>
      <w:proofErr w:type="spellEnd"/>
      <w:r w:rsidRPr="00F02D2E">
        <w:rPr>
          <w:rFonts w:ascii="Times New Roman" w:hAnsi="Times New Roman"/>
          <w:sz w:val="20"/>
          <w:szCs w:val="20"/>
          <w:lang w:eastAsia="it-IT"/>
        </w:rPr>
        <w:t xml:space="preserve"> in </w:t>
      </w:r>
      <w:proofErr w:type="spellStart"/>
      <w:r w:rsidRPr="00F02D2E">
        <w:rPr>
          <w:rFonts w:ascii="Times New Roman" w:hAnsi="Times New Roman"/>
          <w:sz w:val="20"/>
          <w:szCs w:val="20"/>
          <w:lang w:eastAsia="it-IT"/>
        </w:rPr>
        <w:t>Moesia</w:t>
      </w:r>
      <w:proofErr w:type="spellEnd"/>
      <w:r w:rsidRPr="00F02D2E">
        <w:rPr>
          <w:rFonts w:ascii="Times New Roman" w:hAnsi="Times New Roman"/>
          <w:sz w:val="20"/>
          <w:szCs w:val="20"/>
          <w:lang w:eastAsia="it-IT"/>
        </w:rPr>
        <w:t xml:space="preserve"> (Oliver 129 – 130) che potrebbero forse essere collegati; così altri tre provvedimenti del medesimo imperatore alla medesima città (Oliver 131 – 133); dodici provvedimenti di Antonino Pio su </w:t>
      </w:r>
      <w:proofErr w:type="spellStart"/>
      <w:r w:rsidRPr="00F02D2E">
        <w:rPr>
          <w:rFonts w:ascii="Times New Roman" w:hAnsi="Times New Roman"/>
          <w:sz w:val="20"/>
          <w:szCs w:val="20"/>
          <w:lang w:eastAsia="it-IT"/>
        </w:rPr>
        <w:t>Opramoas</w:t>
      </w:r>
      <w:proofErr w:type="spellEnd"/>
      <w:r w:rsidRPr="00F02D2E">
        <w:rPr>
          <w:rFonts w:ascii="Times New Roman" w:hAnsi="Times New Roman"/>
          <w:sz w:val="20"/>
          <w:szCs w:val="20"/>
          <w:lang w:eastAsia="it-IT"/>
        </w:rPr>
        <w:t xml:space="preserve"> dal 139 al 151 (Oliver 142 – 153); tre </w:t>
      </w:r>
      <w:proofErr w:type="spellStart"/>
      <w:r w:rsidRPr="00F02D2E">
        <w:rPr>
          <w:rFonts w:ascii="Times New Roman" w:hAnsi="Times New Roman"/>
          <w:i/>
          <w:iCs/>
          <w:sz w:val="20"/>
          <w:szCs w:val="20"/>
          <w:lang w:eastAsia="it-IT"/>
        </w:rPr>
        <w:t>EpistulaeAntonini</w:t>
      </w:r>
      <w:proofErr w:type="spellEnd"/>
      <w:r w:rsidRPr="00F02D2E">
        <w:rPr>
          <w:rFonts w:ascii="Times New Roman" w:hAnsi="Times New Roman"/>
          <w:i/>
          <w:iCs/>
          <w:sz w:val="20"/>
          <w:szCs w:val="20"/>
          <w:lang w:eastAsia="it-IT"/>
        </w:rPr>
        <w:t xml:space="preserve"> Pii</w:t>
      </w:r>
      <w:r w:rsidRPr="00F02D2E">
        <w:rPr>
          <w:rFonts w:ascii="Times New Roman" w:hAnsi="Times New Roman"/>
          <w:sz w:val="20"/>
          <w:szCs w:val="20"/>
          <w:lang w:eastAsia="it-IT"/>
        </w:rPr>
        <w:t xml:space="preserve">, una </w:t>
      </w:r>
      <w:r w:rsidRPr="00F02D2E">
        <w:rPr>
          <w:rFonts w:ascii="Times New Roman" w:hAnsi="Times New Roman"/>
          <w:i/>
          <w:iCs/>
          <w:sz w:val="20"/>
          <w:szCs w:val="20"/>
          <w:lang w:eastAsia="it-IT"/>
        </w:rPr>
        <w:t xml:space="preserve">ad </w:t>
      </w:r>
      <w:proofErr w:type="spellStart"/>
      <w:r w:rsidRPr="00F02D2E">
        <w:rPr>
          <w:rFonts w:ascii="Times New Roman" w:hAnsi="Times New Roman"/>
          <w:i/>
          <w:iCs/>
          <w:sz w:val="20"/>
          <w:szCs w:val="20"/>
          <w:lang w:eastAsia="it-IT"/>
        </w:rPr>
        <w:t>Ephesios</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del 145 d.C.; tre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Antonini</w:t>
      </w:r>
      <w:proofErr w:type="spellEnd"/>
      <w:r w:rsidRPr="00F02D2E">
        <w:rPr>
          <w:rFonts w:ascii="Times New Roman" w:hAnsi="Times New Roman"/>
          <w:i/>
          <w:iCs/>
          <w:sz w:val="20"/>
          <w:szCs w:val="20"/>
          <w:lang w:eastAsia="it-IT"/>
        </w:rPr>
        <w:t xml:space="preserve"> Pii</w:t>
      </w:r>
      <w:r w:rsidRPr="00F02D2E">
        <w:rPr>
          <w:rFonts w:ascii="Times New Roman" w:hAnsi="Times New Roman"/>
          <w:sz w:val="20"/>
          <w:szCs w:val="20"/>
          <w:lang w:eastAsia="it-IT"/>
        </w:rPr>
        <w:t>, fianco a fianco, una</w:t>
      </w:r>
      <w:r>
        <w:rPr>
          <w:rFonts w:ascii="Times New Roman" w:hAnsi="Times New Roman"/>
          <w:sz w:val="20"/>
          <w:szCs w:val="20"/>
          <w:lang w:eastAsia="it-IT"/>
        </w:rPr>
        <w:t xml:space="preserve"> </w:t>
      </w:r>
      <w:r w:rsidRPr="00F02D2E">
        <w:rPr>
          <w:rFonts w:ascii="Times New Roman" w:hAnsi="Times New Roman"/>
          <w:i/>
          <w:iCs/>
          <w:sz w:val="20"/>
          <w:szCs w:val="20"/>
          <w:lang w:eastAsia="it-IT"/>
        </w:rPr>
        <w:t xml:space="preserve">ad </w:t>
      </w:r>
      <w:proofErr w:type="spellStart"/>
      <w:r w:rsidRPr="00F02D2E">
        <w:rPr>
          <w:rFonts w:ascii="Times New Roman" w:hAnsi="Times New Roman"/>
          <w:i/>
          <w:iCs/>
          <w:sz w:val="20"/>
          <w:szCs w:val="20"/>
          <w:lang w:eastAsia="it-IT"/>
        </w:rPr>
        <w:t>Ephesios</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del 145 d.C., un’altra a </w:t>
      </w:r>
      <w:proofErr w:type="spellStart"/>
      <w:r w:rsidRPr="00F02D2E">
        <w:rPr>
          <w:rFonts w:ascii="Times New Roman" w:hAnsi="Times New Roman"/>
          <w:sz w:val="20"/>
          <w:szCs w:val="20"/>
          <w:lang w:eastAsia="it-IT"/>
        </w:rPr>
        <w:t>Vedio</w:t>
      </w:r>
      <w:proofErr w:type="spellEnd"/>
      <w:r w:rsidRPr="00F02D2E">
        <w:rPr>
          <w:rFonts w:ascii="Times New Roman" w:hAnsi="Times New Roman"/>
          <w:sz w:val="20"/>
          <w:szCs w:val="20"/>
          <w:lang w:eastAsia="it-IT"/>
        </w:rPr>
        <w:t xml:space="preserve"> Antonino del 150 d.C., la terza ai Greci dell’Asia</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nel medesimo anno (Oliver 138 – 140); tre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Antonini</w:t>
      </w:r>
      <w:proofErr w:type="spellEnd"/>
      <w:r w:rsidRPr="00F02D2E">
        <w:rPr>
          <w:rFonts w:ascii="Times New Roman" w:hAnsi="Times New Roman"/>
          <w:i/>
          <w:iCs/>
          <w:sz w:val="20"/>
          <w:szCs w:val="20"/>
          <w:lang w:eastAsia="it-IT"/>
        </w:rPr>
        <w:t xml:space="preserve"> Pii ad </w:t>
      </w:r>
      <w:proofErr w:type="spellStart"/>
      <w:r w:rsidRPr="00F02D2E">
        <w:rPr>
          <w:rFonts w:ascii="Times New Roman" w:hAnsi="Times New Roman"/>
          <w:i/>
          <w:iCs/>
          <w:sz w:val="20"/>
          <w:szCs w:val="20"/>
          <w:lang w:eastAsia="it-IT"/>
        </w:rPr>
        <w:t>commune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Lyciorum</w:t>
      </w:r>
      <w:proofErr w:type="spellEnd"/>
      <w:r w:rsidRPr="00F02D2E">
        <w:rPr>
          <w:rFonts w:ascii="Times New Roman" w:hAnsi="Times New Roman"/>
          <w:sz w:val="20"/>
          <w:szCs w:val="20"/>
          <w:lang w:eastAsia="it-IT"/>
        </w:rPr>
        <w:t>,</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forse collegate, una del 143, un’altra </w:t>
      </w:r>
      <w:r w:rsidR="006B1F1A">
        <w:rPr>
          <w:rFonts w:ascii="Times New Roman" w:hAnsi="Times New Roman"/>
          <w:sz w:val="20"/>
          <w:szCs w:val="20"/>
          <w:lang w:eastAsia="it-IT"/>
        </w:rPr>
        <w:t xml:space="preserve">del 146, la terza del 149 d.C. [L. </w:t>
      </w:r>
      <w:proofErr w:type="spellStart"/>
      <w:r w:rsidRPr="00F02D2E">
        <w:rPr>
          <w:rFonts w:ascii="Times New Roman" w:hAnsi="Times New Roman"/>
          <w:sz w:val="20"/>
          <w:szCs w:val="20"/>
          <w:lang w:eastAsia="it-IT"/>
        </w:rPr>
        <w:t>Lafoscade</w:t>
      </w:r>
      <w:proofErr w:type="spellEnd"/>
      <w:r w:rsidR="006B1F1A">
        <w:rPr>
          <w:rFonts w:ascii="Times New Roman" w:hAnsi="Times New Roman"/>
          <w:sz w:val="20"/>
          <w:szCs w:val="20"/>
          <w:lang w:eastAsia="it-IT"/>
        </w:rPr>
        <w:t xml:space="preserve">, De </w:t>
      </w:r>
      <w:proofErr w:type="spellStart"/>
      <w:r w:rsidR="006B1F1A">
        <w:rPr>
          <w:rFonts w:ascii="Times New Roman" w:hAnsi="Times New Roman"/>
          <w:sz w:val="20"/>
          <w:szCs w:val="20"/>
          <w:lang w:eastAsia="it-IT"/>
        </w:rPr>
        <w:t>epistulis</w:t>
      </w:r>
      <w:proofErr w:type="spellEnd"/>
      <w:r w:rsidR="006B1F1A">
        <w:rPr>
          <w:rFonts w:ascii="Times New Roman" w:hAnsi="Times New Roman"/>
          <w:sz w:val="20"/>
          <w:szCs w:val="20"/>
          <w:lang w:eastAsia="it-IT"/>
        </w:rPr>
        <w:t xml:space="preserve"> </w:t>
      </w:r>
      <w:proofErr w:type="spellStart"/>
      <w:r w:rsidR="006B1F1A">
        <w:rPr>
          <w:rFonts w:ascii="Times New Roman" w:hAnsi="Times New Roman"/>
          <w:sz w:val="20"/>
          <w:szCs w:val="20"/>
          <w:lang w:eastAsia="it-IT"/>
        </w:rPr>
        <w:t>imperatorum</w:t>
      </w:r>
      <w:proofErr w:type="spellEnd"/>
      <w:r w:rsidR="006B1F1A">
        <w:rPr>
          <w:rFonts w:ascii="Times New Roman" w:hAnsi="Times New Roman"/>
          <w:sz w:val="20"/>
          <w:szCs w:val="20"/>
          <w:lang w:eastAsia="it-IT"/>
        </w:rPr>
        <w:t xml:space="preserve">, </w:t>
      </w:r>
      <w:proofErr w:type="spellStart"/>
      <w:r w:rsidR="006B1F1A">
        <w:rPr>
          <w:rFonts w:ascii="Times New Roman" w:hAnsi="Times New Roman"/>
          <w:sz w:val="20"/>
          <w:szCs w:val="20"/>
          <w:lang w:eastAsia="it-IT"/>
        </w:rPr>
        <w:t>Insulis</w:t>
      </w:r>
      <w:proofErr w:type="spellEnd"/>
      <w:r w:rsidR="006B1F1A">
        <w:rPr>
          <w:rFonts w:ascii="Times New Roman" w:hAnsi="Times New Roman"/>
          <w:sz w:val="20"/>
          <w:szCs w:val="20"/>
          <w:lang w:eastAsia="it-IT"/>
        </w:rPr>
        <w:t xml:space="preserve">, 1902, </w:t>
      </w:r>
      <w:r w:rsidR="006B1F1A" w:rsidRPr="006B1F1A">
        <w:rPr>
          <w:rFonts w:ascii="Times New Roman" w:hAnsi="Times New Roman"/>
          <w:sz w:val="20"/>
          <w:szCs w:val="20"/>
        </w:rPr>
        <w:t xml:space="preserve">(d’ora in poi cit. come </w:t>
      </w:r>
      <w:proofErr w:type="spellStart"/>
      <w:r w:rsidR="006B1F1A">
        <w:rPr>
          <w:rFonts w:ascii="Times New Roman" w:hAnsi="Times New Roman"/>
          <w:sz w:val="20"/>
          <w:szCs w:val="20"/>
        </w:rPr>
        <w:t>Lafoscade</w:t>
      </w:r>
      <w:proofErr w:type="spellEnd"/>
      <w:r w:rsidR="006B1F1A" w:rsidRPr="006B1F1A">
        <w:rPr>
          <w:rFonts w:ascii="Times New Roman" w:hAnsi="Times New Roman"/>
          <w:sz w:val="20"/>
          <w:szCs w:val="20"/>
        </w:rPr>
        <w:t>)</w:t>
      </w:r>
      <w:r w:rsidR="006B1F1A">
        <w:rPr>
          <w:rFonts w:ascii="Times New Roman" w:hAnsi="Times New Roman"/>
          <w:sz w:val="20"/>
          <w:szCs w:val="20"/>
        </w:rPr>
        <w:t>,</w:t>
      </w:r>
      <w:r w:rsidRPr="00F02D2E">
        <w:rPr>
          <w:rFonts w:ascii="Times New Roman" w:hAnsi="Times New Roman"/>
          <w:sz w:val="20"/>
          <w:szCs w:val="20"/>
          <w:lang w:eastAsia="it-IT"/>
        </w:rPr>
        <w:t xml:space="preserve"> 39-41-42</w:t>
      </w:r>
      <w:r w:rsidR="006B1F1A">
        <w:rPr>
          <w:rFonts w:ascii="Times New Roman" w:hAnsi="Times New Roman"/>
          <w:sz w:val="20"/>
          <w:szCs w:val="20"/>
          <w:lang w:eastAsia="it-IT"/>
        </w:rPr>
        <w:t>]</w:t>
      </w:r>
      <w:r w:rsidRPr="00F02D2E">
        <w:rPr>
          <w:rFonts w:ascii="Times New Roman" w:hAnsi="Times New Roman"/>
          <w:sz w:val="20"/>
          <w:szCs w:val="20"/>
          <w:lang w:eastAsia="it-IT"/>
        </w:rPr>
        <w:t>;</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sz w:val="20"/>
          <w:szCs w:val="20"/>
          <w:lang w:eastAsia="it-IT"/>
        </w:rPr>
        <w:t>betiche</w:t>
      </w:r>
      <w:proofErr w:type="spellEnd"/>
      <w:r w:rsidRPr="00F02D2E">
        <w:rPr>
          <w:rFonts w:ascii="Times New Roman" w:hAnsi="Times New Roman"/>
          <w:sz w:val="20"/>
          <w:szCs w:val="20"/>
          <w:lang w:eastAsia="it-IT"/>
        </w:rPr>
        <w:t xml:space="preserve"> di Antonino Pio, connesse ad un </w:t>
      </w:r>
      <w:proofErr w:type="spellStart"/>
      <w:r w:rsidRPr="00F02D2E">
        <w:rPr>
          <w:rFonts w:ascii="Times New Roman" w:hAnsi="Times New Roman"/>
          <w:i/>
          <w:iCs/>
          <w:sz w:val="20"/>
          <w:szCs w:val="20"/>
          <w:lang w:eastAsia="it-IT"/>
        </w:rPr>
        <w:t>decretum</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in merito a </w:t>
      </w:r>
      <w:r w:rsidRPr="00F02D2E">
        <w:rPr>
          <w:rFonts w:ascii="Times New Roman" w:hAnsi="Times New Roman"/>
          <w:i/>
          <w:iCs/>
          <w:sz w:val="20"/>
          <w:szCs w:val="20"/>
          <w:lang w:eastAsia="it-IT"/>
        </w:rPr>
        <w:t>legata</w:t>
      </w:r>
      <w:r w:rsidRPr="00F02D2E">
        <w:rPr>
          <w:rFonts w:ascii="Times New Roman" w:hAnsi="Times New Roman"/>
          <w:sz w:val="20"/>
          <w:szCs w:val="20"/>
          <w:lang w:eastAsia="it-IT"/>
        </w:rPr>
        <w:t>, intorno</w:t>
      </w:r>
      <w:r>
        <w:rPr>
          <w:rFonts w:ascii="Times New Roman" w:hAnsi="Times New Roman"/>
          <w:sz w:val="20"/>
          <w:szCs w:val="20"/>
          <w:lang w:eastAsia="it-IT"/>
        </w:rPr>
        <w:t xml:space="preserve"> </w:t>
      </w:r>
      <w:r w:rsidRPr="00F02D2E">
        <w:rPr>
          <w:rFonts w:ascii="Times New Roman" w:hAnsi="Times New Roman"/>
          <w:sz w:val="20"/>
          <w:szCs w:val="20"/>
          <w:lang w:eastAsia="it-IT"/>
        </w:rPr>
        <w:t>al 159 d.C. (J. Gonzales, SDHI, 49, 1983, 400-403; Id., SDHI, 62, 1996, 331-342); due</w:t>
      </w:r>
      <w:r>
        <w:rPr>
          <w:rFonts w:ascii="Times New Roman" w:hAnsi="Times New Roman"/>
          <w:sz w:val="20"/>
          <w:szCs w:val="20"/>
          <w:lang w:eastAsia="it-IT"/>
        </w:rPr>
        <w:t xml:space="preserv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Marci </w:t>
      </w:r>
      <w:proofErr w:type="spellStart"/>
      <w:r w:rsidRPr="00F02D2E">
        <w:rPr>
          <w:rFonts w:ascii="Times New Roman" w:hAnsi="Times New Roman"/>
          <w:i/>
          <w:iCs/>
          <w:sz w:val="20"/>
          <w:szCs w:val="20"/>
          <w:lang w:eastAsia="it-IT"/>
        </w:rPr>
        <w:t>Aurelii</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Caesaris</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et</w:t>
      </w:r>
      <w:proofErr w:type="spellEnd"/>
      <w:r w:rsidRPr="00F02D2E">
        <w:rPr>
          <w:rFonts w:ascii="Times New Roman" w:hAnsi="Times New Roman"/>
          <w:i/>
          <w:iCs/>
          <w:sz w:val="20"/>
          <w:szCs w:val="20"/>
          <w:lang w:eastAsia="it-IT"/>
        </w:rPr>
        <w:t xml:space="preserve"> </w:t>
      </w:r>
      <w:proofErr w:type="spellStart"/>
      <w:r w:rsidRPr="00F02D2E">
        <w:rPr>
          <w:rFonts w:ascii="Times New Roman" w:hAnsi="Times New Roman"/>
          <w:i/>
          <w:iCs/>
          <w:sz w:val="20"/>
          <w:szCs w:val="20"/>
          <w:lang w:eastAsia="it-IT"/>
        </w:rPr>
        <w:t>Antonini</w:t>
      </w:r>
      <w:proofErr w:type="spellEnd"/>
      <w:r w:rsidRPr="00F02D2E">
        <w:rPr>
          <w:rFonts w:ascii="Times New Roman" w:hAnsi="Times New Roman"/>
          <w:i/>
          <w:iCs/>
          <w:sz w:val="20"/>
          <w:szCs w:val="20"/>
          <w:lang w:eastAsia="it-IT"/>
        </w:rPr>
        <w:t xml:space="preserve"> Pii </w:t>
      </w:r>
      <w:r w:rsidRPr="00F02D2E">
        <w:rPr>
          <w:rFonts w:ascii="Times New Roman" w:hAnsi="Times New Roman"/>
          <w:sz w:val="20"/>
          <w:szCs w:val="20"/>
          <w:lang w:eastAsia="it-IT"/>
        </w:rPr>
        <w:t xml:space="preserve">al sinodo dionisiaco di </w:t>
      </w:r>
      <w:proofErr w:type="spellStart"/>
      <w:r w:rsidRPr="00F02D2E">
        <w:rPr>
          <w:rFonts w:ascii="Times New Roman" w:hAnsi="Times New Roman"/>
          <w:sz w:val="20"/>
          <w:szCs w:val="20"/>
          <w:lang w:eastAsia="it-IT"/>
        </w:rPr>
        <w:t>Smyrna</w:t>
      </w:r>
      <w:proofErr w:type="spellEnd"/>
      <w:r w:rsidRPr="00F02D2E">
        <w:rPr>
          <w:rFonts w:ascii="Times New Roman" w:hAnsi="Times New Roman"/>
          <w:sz w:val="20"/>
          <w:szCs w:val="20"/>
          <w:lang w:eastAsia="it-IT"/>
        </w:rPr>
        <w:t xml:space="preserve"> del 158 d.C.</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(Oliver 157 – 158);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Marco Aurelio e </w:t>
      </w:r>
      <w:proofErr w:type="spellStart"/>
      <w:r w:rsidRPr="00F02D2E">
        <w:rPr>
          <w:rFonts w:ascii="Times New Roman" w:hAnsi="Times New Roman"/>
          <w:sz w:val="20"/>
          <w:szCs w:val="20"/>
          <w:lang w:eastAsia="it-IT"/>
        </w:rPr>
        <w:t>Commodo</w:t>
      </w:r>
      <w:proofErr w:type="spellEnd"/>
      <w:r w:rsidRPr="00F02D2E">
        <w:rPr>
          <w:rFonts w:ascii="Times New Roman" w:hAnsi="Times New Roman"/>
          <w:sz w:val="20"/>
          <w:szCs w:val="20"/>
          <w:lang w:eastAsia="it-IT"/>
        </w:rPr>
        <w:t xml:space="preserve"> agli abitanti di </w:t>
      </w:r>
      <w:proofErr w:type="spellStart"/>
      <w:r w:rsidRPr="00F02D2E">
        <w:rPr>
          <w:rFonts w:ascii="Times New Roman" w:hAnsi="Times New Roman"/>
          <w:sz w:val="20"/>
          <w:szCs w:val="20"/>
          <w:lang w:eastAsia="it-IT"/>
        </w:rPr>
        <w:t>Pherae</w:t>
      </w:r>
      <w:proofErr w:type="spellEnd"/>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del 177 d.C. (Oliver 190 - 191); </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un incerto imperatore e una di </w:t>
      </w:r>
      <w:proofErr w:type="spellStart"/>
      <w:r w:rsidRPr="00F02D2E">
        <w:rPr>
          <w:rFonts w:ascii="Times New Roman" w:hAnsi="Times New Roman"/>
          <w:sz w:val="20"/>
          <w:szCs w:val="20"/>
          <w:lang w:eastAsia="it-IT"/>
        </w:rPr>
        <w:t>Commodo</w:t>
      </w:r>
      <w:proofErr w:type="spellEnd"/>
      <w:r w:rsidRPr="00F02D2E">
        <w:rPr>
          <w:rFonts w:ascii="Times New Roman" w:hAnsi="Times New Roman"/>
          <w:sz w:val="20"/>
          <w:szCs w:val="20"/>
          <w:lang w:eastAsia="it-IT"/>
        </w:rPr>
        <w:t xml:space="preserve"> alla</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città di </w:t>
      </w:r>
      <w:proofErr w:type="spellStart"/>
      <w:r w:rsidRPr="00F02D2E">
        <w:rPr>
          <w:rFonts w:ascii="Times New Roman" w:hAnsi="Times New Roman"/>
          <w:sz w:val="20"/>
          <w:szCs w:val="20"/>
          <w:lang w:eastAsia="it-IT"/>
        </w:rPr>
        <w:t>Chersoneso</w:t>
      </w:r>
      <w:proofErr w:type="spellEnd"/>
      <w:r w:rsidRPr="00F02D2E">
        <w:rPr>
          <w:rFonts w:ascii="Times New Roman" w:hAnsi="Times New Roman"/>
          <w:sz w:val="20"/>
          <w:szCs w:val="20"/>
          <w:lang w:eastAsia="it-IT"/>
        </w:rPr>
        <w:t xml:space="preserve"> [</w:t>
      </w:r>
      <w:proofErr w:type="spellStart"/>
      <w:r w:rsidRPr="00F02D2E">
        <w:rPr>
          <w:rFonts w:ascii="Times New Roman" w:hAnsi="Times New Roman"/>
          <w:sz w:val="20"/>
          <w:szCs w:val="20"/>
          <w:lang w:eastAsia="it-IT"/>
        </w:rPr>
        <w:t>Solomonik</w:t>
      </w:r>
      <w:proofErr w:type="spellEnd"/>
      <w:r w:rsidRPr="00F02D2E">
        <w:rPr>
          <w:rFonts w:ascii="Times New Roman" w:hAnsi="Times New Roman"/>
          <w:sz w:val="20"/>
          <w:szCs w:val="20"/>
          <w:lang w:eastAsia="it-IT"/>
        </w:rPr>
        <w:t xml:space="preserve">, </w:t>
      </w:r>
      <w:r w:rsidRPr="00F02D2E">
        <w:rPr>
          <w:rFonts w:ascii="Times New Roman" w:hAnsi="Times New Roman"/>
          <w:i/>
          <w:iCs/>
          <w:sz w:val="20"/>
          <w:szCs w:val="20"/>
          <w:lang w:eastAsia="it-IT"/>
        </w:rPr>
        <w:t xml:space="preserve">Nuove epigrafi greche del </w:t>
      </w:r>
      <w:proofErr w:type="spellStart"/>
      <w:r w:rsidRPr="00F02D2E">
        <w:rPr>
          <w:rFonts w:ascii="Times New Roman" w:hAnsi="Times New Roman"/>
          <w:i/>
          <w:iCs/>
          <w:sz w:val="20"/>
          <w:szCs w:val="20"/>
          <w:lang w:eastAsia="it-IT"/>
        </w:rPr>
        <w:t>Chersoneso</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(in russo), Kiev 1964,</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n. 14 a e b]; undici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Marco Aurelio e </w:t>
      </w:r>
      <w:proofErr w:type="spellStart"/>
      <w:r w:rsidRPr="00F02D2E">
        <w:rPr>
          <w:rFonts w:ascii="Times New Roman" w:hAnsi="Times New Roman"/>
          <w:sz w:val="20"/>
          <w:szCs w:val="20"/>
          <w:lang w:eastAsia="it-IT"/>
        </w:rPr>
        <w:t>Commodo</w:t>
      </w:r>
      <w:proofErr w:type="spellEnd"/>
      <w:r w:rsidRPr="00F02D2E">
        <w:rPr>
          <w:rFonts w:ascii="Times New Roman" w:hAnsi="Times New Roman"/>
          <w:sz w:val="20"/>
          <w:szCs w:val="20"/>
          <w:lang w:eastAsia="it-IT"/>
        </w:rPr>
        <w:t xml:space="preserve"> agli anziani di Atene (Oliver</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193 - 203);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di Marco Aurelio e Settimio Severo agli abitanti di Delfi (Oliver</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204- 5); una </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Settimio Severo ai cittadini di </w:t>
      </w:r>
      <w:proofErr w:type="spellStart"/>
      <w:r w:rsidRPr="00F02D2E">
        <w:rPr>
          <w:rFonts w:ascii="Times New Roman" w:hAnsi="Times New Roman"/>
          <w:i/>
          <w:iCs/>
          <w:sz w:val="20"/>
          <w:szCs w:val="20"/>
          <w:lang w:eastAsia="it-IT"/>
        </w:rPr>
        <w:t>Prymnessus</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del 195 d.C. (Oliver</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214), insieme ad un’altra </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di Settimio Severo ad un’incerta città della Frigia (G. A.</w:t>
      </w:r>
      <w:r w:rsidR="006B1F1A">
        <w:rPr>
          <w:rFonts w:ascii="Times New Roman" w:hAnsi="Times New Roman"/>
          <w:sz w:val="20"/>
          <w:szCs w:val="20"/>
          <w:lang w:eastAsia="it-IT"/>
        </w:rPr>
        <w:t xml:space="preserve"> </w:t>
      </w:r>
      <w:proofErr w:type="spellStart"/>
      <w:r w:rsidRPr="00F02D2E">
        <w:rPr>
          <w:rFonts w:ascii="Times New Roman" w:hAnsi="Times New Roman"/>
          <w:sz w:val="20"/>
          <w:szCs w:val="20"/>
          <w:lang w:eastAsia="it-IT"/>
        </w:rPr>
        <w:t>Souris</w:t>
      </w:r>
      <w:proofErr w:type="spellEnd"/>
      <w:r w:rsidRPr="00F02D2E">
        <w:rPr>
          <w:rFonts w:ascii="Times New Roman" w:hAnsi="Times New Roman"/>
          <w:sz w:val="20"/>
          <w:szCs w:val="20"/>
          <w:lang w:eastAsia="it-IT"/>
        </w:rPr>
        <w:t xml:space="preserve">, </w:t>
      </w:r>
      <w:proofErr w:type="spellStart"/>
      <w:r w:rsidRPr="00F02D2E">
        <w:rPr>
          <w:rFonts w:ascii="Times New Roman" w:hAnsi="Times New Roman"/>
          <w:i/>
          <w:iCs/>
          <w:sz w:val="20"/>
          <w:szCs w:val="20"/>
          <w:lang w:eastAsia="it-IT"/>
        </w:rPr>
        <w:t>Ellenika</w:t>
      </w:r>
      <w:proofErr w:type="spellEnd"/>
      <w:r w:rsidRPr="00F02D2E">
        <w:rPr>
          <w:rFonts w:ascii="Times New Roman" w:hAnsi="Times New Roman"/>
          <w:sz w:val="20"/>
          <w:szCs w:val="20"/>
          <w:lang w:eastAsia="it-IT"/>
        </w:rPr>
        <w:t xml:space="preserve">, 40, 1989, 50-61, n. 5);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Settimio Severo (e </w:t>
      </w:r>
      <w:proofErr w:type="spellStart"/>
      <w:r w:rsidRPr="00F02D2E">
        <w:rPr>
          <w:rFonts w:ascii="Times New Roman" w:hAnsi="Times New Roman"/>
          <w:sz w:val="20"/>
          <w:szCs w:val="20"/>
          <w:lang w:eastAsia="it-IT"/>
        </w:rPr>
        <w:t>Caracalla</w:t>
      </w:r>
      <w:proofErr w:type="spellEnd"/>
      <w:r w:rsidRPr="00F02D2E">
        <w:rPr>
          <w:rFonts w:ascii="Times New Roman" w:hAnsi="Times New Roman"/>
          <w:sz w:val="20"/>
          <w:szCs w:val="20"/>
          <w:lang w:eastAsia="it-IT"/>
        </w:rPr>
        <w:t>) agli</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abitanti di </w:t>
      </w:r>
      <w:proofErr w:type="spellStart"/>
      <w:r w:rsidRPr="00F02D2E">
        <w:rPr>
          <w:rFonts w:ascii="Times New Roman" w:hAnsi="Times New Roman"/>
          <w:sz w:val="20"/>
          <w:szCs w:val="20"/>
          <w:lang w:eastAsia="it-IT"/>
        </w:rPr>
        <w:t>Afrodisia</w:t>
      </w:r>
      <w:proofErr w:type="spellEnd"/>
      <w:r w:rsidRPr="00F02D2E">
        <w:rPr>
          <w:rFonts w:ascii="Times New Roman" w:hAnsi="Times New Roman"/>
          <w:sz w:val="20"/>
          <w:szCs w:val="20"/>
          <w:lang w:eastAsia="it-IT"/>
        </w:rPr>
        <w:t xml:space="preserve"> in seguito alle congratulazioni per la vittoria del 198 d.C. (Oliver 218-219);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di un ignoto imperatore o funzionario alla città di</w:t>
      </w:r>
      <w:r>
        <w:rPr>
          <w:rFonts w:ascii="Times New Roman" w:hAnsi="Times New Roman"/>
          <w:sz w:val="20"/>
          <w:szCs w:val="20"/>
          <w:lang w:eastAsia="it-IT"/>
        </w:rPr>
        <w:t xml:space="preserve"> </w:t>
      </w:r>
      <w:proofErr w:type="spellStart"/>
      <w:r w:rsidRPr="00F02D2E">
        <w:rPr>
          <w:rFonts w:ascii="Times New Roman" w:hAnsi="Times New Roman"/>
          <w:sz w:val="20"/>
          <w:szCs w:val="20"/>
          <w:lang w:eastAsia="it-IT"/>
        </w:rPr>
        <w:t>Tessalonica</w:t>
      </w:r>
      <w:proofErr w:type="spellEnd"/>
      <w:r w:rsidRPr="00F02D2E">
        <w:rPr>
          <w:rFonts w:ascii="Times New Roman" w:hAnsi="Times New Roman"/>
          <w:sz w:val="20"/>
          <w:szCs w:val="20"/>
          <w:lang w:eastAsia="it-IT"/>
        </w:rPr>
        <w:t xml:space="preserve"> (?) del</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II/II sec. d.C. (IG X, 2, 19 A e B);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 xml:space="preserve">di Settimio Severo e </w:t>
      </w:r>
      <w:proofErr w:type="spellStart"/>
      <w:r w:rsidRPr="00F02D2E">
        <w:rPr>
          <w:rFonts w:ascii="Times New Roman" w:hAnsi="Times New Roman"/>
          <w:sz w:val="20"/>
          <w:szCs w:val="20"/>
          <w:lang w:eastAsia="it-IT"/>
        </w:rPr>
        <w:t>Caracalla</w:t>
      </w:r>
      <w:proofErr w:type="spellEnd"/>
      <w:r w:rsidRPr="00F02D2E">
        <w:rPr>
          <w:rFonts w:ascii="Times New Roman" w:hAnsi="Times New Roman"/>
          <w:sz w:val="20"/>
          <w:szCs w:val="20"/>
          <w:lang w:eastAsia="it-IT"/>
        </w:rPr>
        <w:t xml:space="preserve"> e del solo</w:t>
      </w:r>
      <w:r>
        <w:rPr>
          <w:rFonts w:ascii="Times New Roman" w:hAnsi="Times New Roman"/>
          <w:sz w:val="20"/>
          <w:szCs w:val="20"/>
          <w:lang w:eastAsia="it-IT"/>
        </w:rPr>
        <w:t xml:space="preserve"> </w:t>
      </w:r>
      <w:proofErr w:type="spellStart"/>
      <w:r w:rsidRPr="00F02D2E">
        <w:rPr>
          <w:rFonts w:ascii="Times New Roman" w:hAnsi="Times New Roman"/>
          <w:sz w:val="20"/>
          <w:szCs w:val="20"/>
          <w:lang w:eastAsia="it-IT"/>
        </w:rPr>
        <w:t>Caracalla</w:t>
      </w:r>
      <w:proofErr w:type="spellEnd"/>
      <w:r w:rsidRPr="00F02D2E">
        <w:rPr>
          <w:rFonts w:ascii="Times New Roman" w:hAnsi="Times New Roman"/>
          <w:sz w:val="20"/>
          <w:szCs w:val="20"/>
          <w:lang w:eastAsia="it-IT"/>
        </w:rPr>
        <w:t xml:space="preserve"> ai magistrati, consiglio e popolo di </w:t>
      </w:r>
      <w:proofErr w:type="spellStart"/>
      <w:r w:rsidRPr="00F02D2E">
        <w:rPr>
          <w:rFonts w:ascii="Times New Roman" w:hAnsi="Times New Roman"/>
          <w:sz w:val="20"/>
          <w:szCs w:val="20"/>
          <w:lang w:eastAsia="it-IT"/>
        </w:rPr>
        <w:t>Syros</w:t>
      </w:r>
      <w:proofErr w:type="spellEnd"/>
      <w:r w:rsidRPr="00F02D2E">
        <w:rPr>
          <w:rFonts w:ascii="Times New Roman" w:hAnsi="Times New Roman"/>
          <w:sz w:val="20"/>
          <w:szCs w:val="20"/>
          <w:lang w:eastAsia="it-IT"/>
        </w:rPr>
        <w:t xml:space="preserve"> (Oliver 257-258); </w:t>
      </w:r>
      <w:proofErr w:type="spellStart"/>
      <w:r w:rsidRPr="00F02D2E">
        <w:rPr>
          <w:rFonts w:ascii="Times New Roman" w:hAnsi="Times New Roman"/>
          <w:i/>
          <w:iCs/>
          <w:sz w:val="20"/>
          <w:szCs w:val="20"/>
          <w:lang w:eastAsia="it-IT"/>
        </w:rPr>
        <w:t>Epistula</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d’imperatore</w:t>
      </w:r>
      <w:r>
        <w:rPr>
          <w:rFonts w:ascii="Times New Roman" w:hAnsi="Times New Roman"/>
          <w:sz w:val="20"/>
          <w:szCs w:val="20"/>
          <w:lang w:eastAsia="it-IT"/>
        </w:rPr>
        <w:t xml:space="preserve"> </w:t>
      </w:r>
      <w:r w:rsidRPr="00F02D2E">
        <w:rPr>
          <w:rFonts w:ascii="Times New Roman" w:hAnsi="Times New Roman"/>
          <w:sz w:val="20"/>
          <w:szCs w:val="20"/>
          <w:lang w:eastAsia="it-IT"/>
        </w:rPr>
        <w:t>sconosciuto sulla festa di Artemide (Oliver 264), rinvenuta ad Efeso in un’unica epigrafe</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(Oliver 264 – 6) con altre due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sz w:val="20"/>
          <w:szCs w:val="20"/>
          <w:lang w:eastAsia="it-IT"/>
        </w:rPr>
        <w:t xml:space="preserve">, una di Giulia </w:t>
      </w:r>
      <w:proofErr w:type="spellStart"/>
      <w:r w:rsidRPr="00F02D2E">
        <w:rPr>
          <w:rFonts w:ascii="Times New Roman" w:hAnsi="Times New Roman"/>
          <w:sz w:val="20"/>
          <w:szCs w:val="20"/>
          <w:lang w:eastAsia="it-IT"/>
        </w:rPr>
        <w:t>Domna</w:t>
      </w:r>
      <w:proofErr w:type="spellEnd"/>
      <w:r w:rsidRPr="00F02D2E">
        <w:rPr>
          <w:rFonts w:ascii="Times New Roman" w:hAnsi="Times New Roman"/>
          <w:sz w:val="20"/>
          <w:szCs w:val="20"/>
          <w:lang w:eastAsia="it-IT"/>
        </w:rPr>
        <w:t xml:space="preserve"> agli Efesini del 215 (?), l’altra</w:t>
      </w:r>
      <w:r>
        <w:rPr>
          <w:rFonts w:ascii="Times New Roman" w:hAnsi="Times New Roman"/>
          <w:sz w:val="20"/>
          <w:szCs w:val="20"/>
          <w:lang w:eastAsia="it-IT"/>
        </w:rPr>
        <w:t xml:space="preserve"> </w:t>
      </w:r>
      <w:r w:rsidRPr="00F02D2E">
        <w:rPr>
          <w:rFonts w:ascii="Times New Roman" w:hAnsi="Times New Roman"/>
          <w:sz w:val="20"/>
          <w:szCs w:val="20"/>
          <w:lang w:eastAsia="it-IT"/>
        </w:rPr>
        <w:t xml:space="preserve">di </w:t>
      </w:r>
      <w:proofErr w:type="spellStart"/>
      <w:r w:rsidRPr="00F02D2E">
        <w:rPr>
          <w:rFonts w:ascii="Times New Roman" w:hAnsi="Times New Roman"/>
          <w:sz w:val="20"/>
          <w:szCs w:val="20"/>
          <w:lang w:eastAsia="it-IT"/>
        </w:rPr>
        <w:t>Caracalla</w:t>
      </w:r>
      <w:proofErr w:type="spellEnd"/>
      <w:r w:rsidRPr="00F02D2E">
        <w:rPr>
          <w:rFonts w:ascii="Times New Roman" w:hAnsi="Times New Roman"/>
          <w:sz w:val="20"/>
          <w:szCs w:val="20"/>
          <w:lang w:eastAsia="it-IT"/>
        </w:rPr>
        <w:t xml:space="preserve"> al </w:t>
      </w:r>
      <w:proofErr w:type="spellStart"/>
      <w:r w:rsidRPr="00F02D2E">
        <w:rPr>
          <w:rFonts w:ascii="Times New Roman" w:hAnsi="Times New Roman"/>
          <w:sz w:val="20"/>
          <w:szCs w:val="20"/>
          <w:lang w:eastAsia="it-IT"/>
        </w:rPr>
        <w:t>κοίνόν</w:t>
      </w:r>
      <w:proofErr w:type="spellEnd"/>
      <w:r w:rsidRPr="00F02D2E">
        <w:rPr>
          <w:rFonts w:ascii="Times New Roman" w:hAnsi="Times New Roman"/>
          <w:sz w:val="20"/>
          <w:szCs w:val="20"/>
          <w:lang w:eastAsia="it-IT"/>
        </w:rPr>
        <w:t xml:space="preserve"> dell’Asia; tre </w:t>
      </w:r>
      <w:proofErr w:type="spellStart"/>
      <w:r w:rsidRPr="00F02D2E">
        <w:rPr>
          <w:rFonts w:ascii="Times New Roman" w:hAnsi="Times New Roman"/>
          <w:i/>
          <w:iCs/>
          <w:sz w:val="20"/>
          <w:szCs w:val="20"/>
          <w:lang w:eastAsia="it-IT"/>
        </w:rPr>
        <w:t>Epistulae</w:t>
      </w:r>
      <w:proofErr w:type="spellEnd"/>
      <w:r w:rsidRPr="00F02D2E">
        <w:rPr>
          <w:rFonts w:ascii="Times New Roman" w:hAnsi="Times New Roman"/>
          <w:i/>
          <w:iCs/>
          <w:sz w:val="20"/>
          <w:szCs w:val="20"/>
          <w:lang w:eastAsia="it-IT"/>
        </w:rPr>
        <w:t xml:space="preserve"> </w:t>
      </w:r>
      <w:r w:rsidRPr="00F02D2E">
        <w:rPr>
          <w:rFonts w:ascii="Times New Roman" w:hAnsi="Times New Roman"/>
          <w:sz w:val="20"/>
          <w:szCs w:val="20"/>
          <w:lang w:eastAsia="it-IT"/>
        </w:rPr>
        <w:t>(A-B-C) di Gordiano II inviate alla città di</w:t>
      </w:r>
      <w:r>
        <w:rPr>
          <w:rFonts w:ascii="Times New Roman" w:hAnsi="Times New Roman"/>
          <w:sz w:val="20"/>
          <w:szCs w:val="20"/>
          <w:lang w:eastAsia="it-IT"/>
        </w:rPr>
        <w:t xml:space="preserve"> </w:t>
      </w:r>
      <w:proofErr w:type="spellStart"/>
      <w:r w:rsidRPr="00F02D2E">
        <w:rPr>
          <w:rFonts w:ascii="Times New Roman" w:hAnsi="Times New Roman"/>
          <w:sz w:val="20"/>
          <w:szCs w:val="20"/>
          <w:lang w:eastAsia="it-IT"/>
        </w:rPr>
        <w:t>Antinoopolis</w:t>
      </w:r>
      <w:proofErr w:type="spellEnd"/>
      <w:r w:rsidRPr="00F02D2E">
        <w:rPr>
          <w:rFonts w:ascii="Times New Roman" w:hAnsi="Times New Roman"/>
          <w:sz w:val="20"/>
          <w:szCs w:val="20"/>
          <w:lang w:eastAsia="it-IT"/>
        </w:rPr>
        <w:t xml:space="preserve"> (</w:t>
      </w:r>
      <w:proofErr w:type="spellStart"/>
      <w:r w:rsidRPr="00F02D2E">
        <w:rPr>
          <w:rFonts w:ascii="Times New Roman" w:hAnsi="Times New Roman"/>
          <w:sz w:val="20"/>
          <w:szCs w:val="20"/>
          <w:lang w:eastAsia="it-IT"/>
        </w:rPr>
        <w:t>Hoogendijk-van</w:t>
      </w:r>
      <w:proofErr w:type="spellEnd"/>
      <w:r w:rsidRPr="00F02D2E">
        <w:rPr>
          <w:rFonts w:ascii="Times New Roman" w:hAnsi="Times New Roman"/>
          <w:sz w:val="20"/>
          <w:szCs w:val="20"/>
          <w:lang w:eastAsia="it-IT"/>
        </w:rPr>
        <w:t xml:space="preserve"> </w:t>
      </w:r>
      <w:proofErr w:type="spellStart"/>
      <w:r w:rsidRPr="00F02D2E">
        <w:rPr>
          <w:rFonts w:ascii="Times New Roman" w:hAnsi="Times New Roman"/>
          <w:sz w:val="20"/>
          <w:szCs w:val="20"/>
          <w:lang w:eastAsia="it-IT"/>
        </w:rPr>
        <w:t>Minnen</w:t>
      </w:r>
      <w:proofErr w:type="spellEnd"/>
      <w:r w:rsidRPr="00F02D2E">
        <w:rPr>
          <w:rFonts w:ascii="Times New Roman" w:hAnsi="Times New Roman"/>
          <w:sz w:val="20"/>
          <w:szCs w:val="20"/>
          <w:lang w:eastAsia="it-IT"/>
        </w:rPr>
        <w:t xml:space="preserve">, </w:t>
      </w:r>
      <w:proofErr w:type="spellStart"/>
      <w:r w:rsidRPr="00F02D2E">
        <w:rPr>
          <w:rFonts w:ascii="Times New Roman" w:hAnsi="Times New Roman"/>
          <w:i/>
          <w:iCs/>
          <w:sz w:val="20"/>
          <w:szCs w:val="20"/>
          <w:lang w:eastAsia="it-IT"/>
        </w:rPr>
        <w:t>Tyche</w:t>
      </w:r>
      <w:proofErr w:type="spellEnd"/>
      <w:r w:rsidRPr="00F02D2E">
        <w:rPr>
          <w:rFonts w:ascii="Times New Roman" w:hAnsi="Times New Roman"/>
          <w:sz w:val="20"/>
          <w:szCs w:val="20"/>
          <w:lang w:eastAsia="it-IT"/>
        </w:rPr>
        <w:t>, 2, 1987, 41-74).</w:t>
      </w:r>
    </w:p>
    <w:p w:rsidR="002E0AAC" w:rsidRPr="00F02D2E" w:rsidRDefault="002E0AAC" w:rsidP="00F02D2E">
      <w:pPr>
        <w:autoSpaceDE w:val="0"/>
        <w:autoSpaceDN w:val="0"/>
        <w:adjustRightInd w:val="0"/>
        <w:spacing w:after="0" w:line="240" w:lineRule="auto"/>
        <w:ind w:right="567" w:firstLine="0"/>
        <w:rPr>
          <w:rFonts w:ascii="Times New Roman" w:hAnsi="Times New Roman"/>
        </w:rPr>
      </w:pPr>
    </w:p>
  </w:footnote>
  <w:footnote w:id="43">
    <w:p w:rsidR="002E0AAC" w:rsidRPr="006B1F1A" w:rsidRDefault="002E0AAC" w:rsidP="00AC1446">
      <w:pPr>
        <w:pStyle w:val="Testonotaapidipagina"/>
        <w:ind w:right="567"/>
        <w:rPr>
          <w:rFonts w:ascii="Times New Roman" w:hAnsi="Times New Roman"/>
          <w:lang w:val="en-US"/>
        </w:rPr>
      </w:pPr>
      <w:r>
        <w:rPr>
          <w:rStyle w:val="Rimandonotaapidipagina"/>
        </w:rPr>
        <w:footnoteRef/>
      </w:r>
      <w:r w:rsidRPr="006B1F1A">
        <w:t xml:space="preserve"> </w:t>
      </w:r>
      <w:r w:rsidRPr="006B1F1A">
        <w:rPr>
          <w:rFonts w:ascii="Times New Roman" w:hAnsi="Times New Roman"/>
        </w:rPr>
        <w:t xml:space="preserve">Il P. </w:t>
      </w:r>
      <w:proofErr w:type="spellStart"/>
      <w:r w:rsidRPr="006B1F1A">
        <w:rPr>
          <w:rFonts w:ascii="Times New Roman" w:hAnsi="Times New Roman"/>
        </w:rPr>
        <w:t>Caire</w:t>
      </w:r>
      <w:proofErr w:type="spellEnd"/>
      <w:r w:rsidRPr="006B1F1A">
        <w:rPr>
          <w:rFonts w:ascii="Times New Roman" w:hAnsi="Times New Roman"/>
        </w:rPr>
        <w:t xml:space="preserve"> </w:t>
      </w:r>
      <w:proofErr w:type="spellStart"/>
      <w:r w:rsidRPr="006B1F1A">
        <w:rPr>
          <w:rFonts w:ascii="Times New Roman" w:hAnsi="Times New Roman"/>
        </w:rPr>
        <w:t>dém</w:t>
      </w:r>
      <w:proofErr w:type="spellEnd"/>
      <w:r w:rsidRPr="006B1F1A">
        <w:rPr>
          <w:rFonts w:ascii="Times New Roman" w:hAnsi="Times New Roman"/>
        </w:rPr>
        <w:t xml:space="preserve">. 89127-89130 e 89137- 89143 fu ritrovato nel 1938-9 a </w:t>
      </w:r>
      <w:proofErr w:type="spellStart"/>
      <w:r w:rsidRPr="006B1F1A">
        <w:rPr>
          <w:rFonts w:ascii="Times New Roman" w:hAnsi="Times New Roman"/>
        </w:rPr>
        <w:t>Touna</w:t>
      </w:r>
      <w:proofErr w:type="spellEnd"/>
      <w:r w:rsidRPr="006B1F1A">
        <w:rPr>
          <w:rFonts w:ascii="Times New Roman" w:hAnsi="Times New Roman"/>
        </w:rPr>
        <w:t xml:space="preserve"> </w:t>
      </w:r>
      <w:proofErr w:type="spellStart"/>
      <w:r w:rsidRPr="006B1F1A">
        <w:rPr>
          <w:rFonts w:ascii="Times New Roman" w:hAnsi="Times New Roman"/>
        </w:rPr>
        <w:t>el</w:t>
      </w:r>
      <w:proofErr w:type="spellEnd"/>
      <w:r w:rsidRPr="006B1F1A">
        <w:rPr>
          <w:rFonts w:ascii="Times New Roman" w:hAnsi="Times New Roman"/>
        </w:rPr>
        <w:t xml:space="preserve"> </w:t>
      </w:r>
      <w:proofErr w:type="spellStart"/>
      <w:r w:rsidRPr="006B1F1A">
        <w:rPr>
          <w:rFonts w:ascii="Times New Roman" w:hAnsi="Times New Roman"/>
        </w:rPr>
        <w:t>Gebel</w:t>
      </w:r>
      <w:proofErr w:type="spellEnd"/>
      <w:r w:rsidRPr="006B1F1A">
        <w:rPr>
          <w:rFonts w:ascii="Times New Roman" w:hAnsi="Times New Roman"/>
        </w:rPr>
        <w:t xml:space="preserve">; </w:t>
      </w:r>
      <w:r w:rsidR="006B1F1A" w:rsidRPr="006B1F1A">
        <w:rPr>
          <w:rFonts w:ascii="Times New Roman" w:hAnsi="Times New Roman"/>
        </w:rPr>
        <w:t xml:space="preserve">G. </w:t>
      </w:r>
      <w:proofErr w:type="spellStart"/>
      <w:r w:rsidRPr="006B1F1A">
        <w:rPr>
          <w:rFonts w:ascii="Times New Roman" w:hAnsi="Times New Roman"/>
        </w:rPr>
        <w:t>Mattha</w:t>
      </w:r>
      <w:proofErr w:type="spellEnd"/>
      <w:r w:rsidRPr="006B1F1A">
        <w:rPr>
          <w:rFonts w:ascii="Times New Roman" w:hAnsi="Times New Roman"/>
        </w:rPr>
        <w:t xml:space="preserve">, </w:t>
      </w:r>
      <w:proofErr w:type="spellStart"/>
      <w:r w:rsidR="006B1F1A">
        <w:rPr>
          <w:rFonts w:ascii="Times New Roman" w:hAnsi="Times New Roman"/>
        </w:rPr>
        <w:t>G.R.</w:t>
      </w:r>
      <w:proofErr w:type="spellEnd"/>
      <w:r w:rsidR="006B1F1A">
        <w:rPr>
          <w:rFonts w:ascii="Times New Roman" w:hAnsi="Times New Roman"/>
        </w:rPr>
        <w:t xml:space="preserve"> </w:t>
      </w:r>
      <w:r w:rsidRPr="006B1F1A">
        <w:rPr>
          <w:rFonts w:ascii="Times New Roman" w:hAnsi="Times New Roman"/>
        </w:rPr>
        <w:t xml:space="preserve">Hughes, </w:t>
      </w:r>
      <w:r w:rsidRPr="006B1F1A">
        <w:rPr>
          <w:rFonts w:ascii="Times New Roman" w:hAnsi="Times New Roman"/>
          <w:i/>
        </w:rPr>
        <w:t xml:space="preserve">The </w:t>
      </w:r>
      <w:proofErr w:type="spellStart"/>
      <w:r w:rsidRPr="006B1F1A">
        <w:rPr>
          <w:rFonts w:ascii="Times New Roman" w:hAnsi="Times New Roman"/>
          <w:i/>
        </w:rPr>
        <w:t>Demotic</w:t>
      </w:r>
      <w:proofErr w:type="spellEnd"/>
      <w:r w:rsidRPr="006B1F1A">
        <w:rPr>
          <w:rFonts w:ascii="Times New Roman" w:hAnsi="Times New Roman"/>
          <w:i/>
        </w:rPr>
        <w:t xml:space="preserve"> </w:t>
      </w:r>
      <w:proofErr w:type="spellStart"/>
      <w:r w:rsidRPr="006B1F1A">
        <w:rPr>
          <w:rFonts w:ascii="Times New Roman" w:hAnsi="Times New Roman"/>
          <w:i/>
        </w:rPr>
        <w:t>Legal</w:t>
      </w:r>
      <w:proofErr w:type="spellEnd"/>
      <w:r w:rsidRPr="006B1F1A">
        <w:rPr>
          <w:rFonts w:ascii="Times New Roman" w:hAnsi="Times New Roman"/>
          <w:i/>
        </w:rPr>
        <w:t xml:space="preserve"> Code </w:t>
      </w:r>
      <w:proofErr w:type="spellStart"/>
      <w:r w:rsidRPr="006B1F1A">
        <w:rPr>
          <w:rFonts w:ascii="Times New Roman" w:hAnsi="Times New Roman"/>
          <w:i/>
        </w:rPr>
        <w:t>of</w:t>
      </w:r>
      <w:proofErr w:type="spellEnd"/>
      <w:r w:rsidRPr="006B1F1A">
        <w:rPr>
          <w:rFonts w:ascii="Times New Roman" w:hAnsi="Times New Roman"/>
          <w:i/>
        </w:rPr>
        <w:t xml:space="preserve"> </w:t>
      </w:r>
      <w:proofErr w:type="spellStart"/>
      <w:r w:rsidRPr="006B1F1A">
        <w:rPr>
          <w:rFonts w:ascii="Times New Roman" w:hAnsi="Times New Roman"/>
          <w:i/>
        </w:rPr>
        <w:t>Hermopolis</w:t>
      </w:r>
      <w:proofErr w:type="spellEnd"/>
      <w:r w:rsidRPr="006B1F1A">
        <w:rPr>
          <w:rFonts w:ascii="Times New Roman" w:hAnsi="Times New Roman"/>
          <w:i/>
        </w:rPr>
        <w:t xml:space="preserve"> West, </w:t>
      </w:r>
      <w:r w:rsidRPr="006B1F1A">
        <w:rPr>
          <w:rFonts w:ascii="Times New Roman" w:hAnsi="Times New Roman"/>
        </w:rPr>
        <w:t xml:space="preserve">Le </w:t>
      </w:r>
      <w:proofErr w:type="spellStart"/>
      <w:r w:rsidRPr="006B1F1A">
        <w:rPr>
          <w:rFonts w:ascii="Times New Roman" w:hAnsi="Times New Roman"/>
        </w:rPr>
        <w:t>Caire</w:t>
      </w:r>
      <w:proofErr w:type="spellEnd"/>
      <w:r w:rsidRPr="006B1F1A">
        <w:rPr>
          <w:rFonts w:ascii="Times New Roman" w:hAnsi="Times New Roman"/>
        </w:rPr>
        <w:t>, 1975 (IFAO, Bibl. d’</w:t>
      </w:r>
      <w:proofErr w:type="spellStart"/>
      <w:r w:rsidRPr="006B1F1A">
        <w:rPr>
          <w:rFonts w:ascii="Times New Roman" w:hAnsi="Times New Roman"/>
        </w:rPr>
        <w:t>études</w:t>
      </w:r>
      <w:proofErr w:type="spellEnd"/>
      <w:r w:rsidRPr="006B1F1A">
        <w:rPr>
          <w:rFonts w:ascii="Times New Roman" w:hAnsi="Times New Roman"/>
        </w:rPr>
        <w:t xml:space="preserve"> 45); </w:t>
      </w:r>
      <w:r w:rsidR="006B1F1A">
        <w:rPr>
          <w:rFonts w:ascii="Times New Roman" w:hAnsi="Times New Roman"/>
        </w:rPr>
        <w:t xml:space="preserve">J. </w:t>
      </w:r>
      <w:proofErr w:type="spellStart"/>
      <w:r w:rsidRPr="006B1F1A">
        <w:rPr>
          <w:rFonts w:ascii="Times New Roman" w:hAnsi="Times New Roman"/>
        </w:rPr>
        <w:t>Mélèze-</w:t>
      </w:r>
      <w:proofErr w:type="spellEnd"/>
      <w:r w:rsidRPr="006B1F1A">
        <w:rPr>
          <w:rFonts w:ascii="Times New Roman" w:hAnsi="Times New Roman"/>
        </w:rPr>
        <w:t xml:space="preserve"> </w:t>
      </w:r>
      <w:proofErr w:type="spellStart"/>
      <w:r w:rsidRPr="006B1F1A">
        <w:rPr>
          <w:rFonts w:ascii="Times New Roman" w:hAnsi="Times New Roman"/>
        </w:rPr>
        <w:t>Modrzejewski</w:t>
      </w:r>
      <w:proofErr w:type="spellEnd"/>
      <w:r w:rsidRPr="006B1F1A">
        <w:rPr>
          <w:rFonts w:ascii="Times New Roman" w:hAnsi="Times New Roman"/>
        </w:rPr>
        <w:t xml:space="preserve">, </w:t>
      </w:r>
      <w:r w:rsidRPr="006B1F1A">
        <w:rPr>
          <w:rFonts w:ascii="Times New Roman" w:hAnsi="Times New Roman"/>
          <w:i/>
        </w:rPr>
        <w:t xml:space="preserve">“La </w:t>
      </w:r>
      <w:proofErr w:type="spellStart"/>
      <w:r w:rsidRPr="006B1F1A">
        <w:rPr>
          <w:rFonts w:ascii="Times New Roman" w:hAnsi="Times New Roman"/>
          <w:i/>
        </w:rPr>
        <w:t>loi</w:t>
      </w:r>
      <w:proofErr w:type="spellEnd"/>
      <w:r w:rsidRPr="006B1F1A">
        <w:rPr>
          <w:rFonts w:ascii="Times New Roman" w:hAnsi="Times New Roman"/>
          <w:i/>
        </w:rPr>
        <w:t xml:space="preserve"> </w:t>
      </w:r>
      <w:proofErr w:type="spellStart"/>
      <w:r w:rsidRPr="006B1F1A">
        <w:rPr>
          <w:rFonts w:ascii="Times New Roman" w:hAnsi="Times New Roman"/>
          <w:i/>
        </w:rPr>
        <w:t>des</w:t>
      </w:r>
      <w:proofErr w:type="spellEnd"/>
      <w:r w:rsidRPr="006B1F1A">
        <w:rPr>
          <w:rFonts w:ascii="Times New Roman" w:hAnsi="Times New Roman"/>
          <w:i/>
        </w:rPr>
        <w:t xml:space="preserve"> </w:t>
      </w:r>
      <w:proofErr w:type="spellStart"/>
      <w:r w:rsidRPr="006B1F1A">
        <w:rPr>
          <w:rFonts w:ascii="Times New Roman" w:hAnsi="Times New Roman"/>
          <w:i/>
        </w:rPr>
        <w:t>Égyptiens</w:t>
      </w:r>
      <w:proofErr w:type="spellEnd"/>
      <w:r w:rsidRPr="006B1F1A">
        <w:rPr>
          <w:rFonts w:ascii="Times New Roman" w:hAnsi="Times New Roman"/>
          <w:i/>
        </w:rPr>
        <w:t xml:space="preserve">”: le </w:t>
      </w:r>
      <w:proofErr w:type="spellStart"/>
      <w:r w:rsidRPr="006B1F1A">
        <w:rPr>
          <w:rFonts w:ascii="Times New Roman" w:hAnsi="Times New Roman"/>
          <w:i/>
        </w:rPr>
        <w:t>droit</w:t>
      </w:r>
      <w:proofErr w:type="spellEnd"/>
      <w:r w:rsidRPr="006B1F1A">
        <w:rPr>
          <w:rFonts w:ascii="Times New Roman" w:hAnsi="Times New Roman"/>
          <w:i/>
        </w:rPr>
        <w:t xml:space="preserve"> </w:t>
      </w:r>
      <w:proofErr w:type="spellStart"/>
      <w:r w:rsidRPr="006B1F1A">
        <w:rPr>
          <w:rFonts w:ascii="Times New Roman" w:hAnsi="Times New Roman"/>
          <w:i/>
        </w:rPr>
        <w:t>grec</w:t>
      </w:r>
      <w:proofErr w:type="spellEnd"/>
      <w:r w:rsidRPr="006B1F1A">
        <w:rPr>
          <w:rFonts w:ascii="Times New Roman" w:hAnsi="Times New Roman"/>
          <w:i/>
        </w:rPr>
        <w:t xml:space="preserve"> </w:t>
      </w:r>
      <w:proofErr w:type="spellStart"/>
      <w:r w:rsidRPr="006B1F1A">
        <w:rPr>
          <w:rFonts w:ascii="Times New Roman" w:hAnsi="Times New Roman"/>
          <w:i/>
        </w:rPr>
        <w:t>dans</w:t>
      </w:r>
      <w:proofErr w:type="spellEnd"/>
      <w:r w:rsidRPr="006B1F1A">
        <w:rPr>
          <w:rFonts w:ascii="Times New Roman" w:hAnsi="Times New Roman"/>
          <w:i/>
        </w:rPr>
        <w:t xml:space="preserve"> l’</w:t>
      </w:r>
      <w:proofErr w:type="spellStart"/>
      <w:r w:rsidRPr="006B1F1A">
        <w:rPr>
          <w:rFonts w:ascii="Times New Roman" w:hAnsi="Times New Roman"/>
          <w:i/>
        </w:rPr>
        <w:t>Égypte</w:t>
      </w:r>
      <w:proofErr w:type="spellEnd"/>
      <w:r w:rsidRPr="006B1F1A">
        <w:rPr>
          <w:rFonts w:ascii="Times New Roman" w:hAnsi="Times New Roman"/>
          <w:i/>
        </w:rPr>
        <w:t xml:space="preserve"> </w:t>
      </w:r>
      <w:proofErr w:type="spellStart"/>
      <w:r w:rsidRPr="006B1F1A">
        <w:rPr>
          <w:rFonts w:ascii="Times New Roman" w:hAnsi="Times New Roman"/>
          <w:i/>
        </w:rPr>
        <w:t>romaine</w:t>
      </w:r>
      <w:proofErr w:type="spellEnd"/>
      <w:r w:rsidRPr="006B1F1A">
        <w:rPr>
          <w:rFonts w:ascii="Times New Roman" w:hAnsi="Times New Roman"/>
        </w:rPr>
        <w:t xml:space="preserve">, </w:t>
      </w:r>
      <w:proofErr w:type="spellStart"/>
      <w:r w:rsidRPr="006B1F1A">
        <w:rPr>
          <w:rFonts w:ascii="Times New Roman" w:hAnsi="Times New Roman"/>
        </w:rPr>
        <w:t>Proceedings</w:t>
      </w:r>
      <w:proofErr w:type="spellEnd"/>
      <w:r w:rsidRPr="006B1F1A">
        <w:rPr>
          <w:rFonts w:ascii="Times New Roman" w:hAnsi="Times New Roman"/>
        </w:rPr>
        <w:t xml:space="preserve"> </w:t>
      </w:r>
      <w:proofErr w:type="spellStart"/>
      <w:r w:rsidRPr="006B1F1A">
        <w:rPr>
          <w:rFonts w:ascii="Times New Roman" w:hAnsi="Times New Roman"/>
        </w:rPr>
        <w:t>of</w:t>
      </w:r>
      <w:proofErr w:type="spellEnd"/>
      <w:r w:rsidRPr="006B1F1A">
        <w:rPr>
          <w:rFonts w:ascii="Times New Roman" w:hAnsi="Times New Roman"/>
        </w:rPr>
        <w:t xml:space="preserve"> the XVIII </w:t>
      </w:r>
      <w:proofErr w:type="spellStart"/>
      <w:r w:rsidRPr="006B1F1A">
        <w:rPr>
          <w:rFonts w:ascii="Times New Roman" w:hAnsi="Times New Roman"/>
        </w:rPr>
        <w:t>Intern</w:t>
      </w:r>
      <w:proofErr w:type="spellEnd"/>
      <w:r w:rsidRPr="006B1F1A">
        <w:rPr>
          <w:rFonts w:ascii="Times New Roman" w:hAnsi="Times New Roman"/>
        </w:rPr>
        <w:t xml:space="preserve">.  </w:t>
      </w:r>
      <w:r w:rsidRPr="005332D9">
        <w:rPr>
          <w:rFonts w:ascii="Times New Roman" w:hAnsi="Times New Roman"/>
          <w:lang w:val="en-GB"/>
        </w:rPr>
        <w:t xml:space="preserve">Congress of </w:t>
      </w:r>
      <w:proofErr w:type="spellStart"/>
      <w:r w:rsidRPr="005332D9">
        <w:rPr>
          <w:rFonts w:ascii="Times New Roman" w:hAnsi="Times New Roman"/>
          <w:lang w:val="en-GB"/>
        </w:rPr>
        <w:t>Papyrology</w:t>
      </w:r>
      <w:proofErr w:type="spellEnd"/>
      <w:r w:rsidRPr="005332D9">
        <w:rPr>
          <w:rFonts w:ascii="Times New Roman" w:hAnsi="Times New Roman"/>
          <w:lang w:val="en-GB"/>
        </w:rPr>
        <w:t xml:space="preserve">  (Athens, 1986), II, Athens, 1988, pp. 383 e s.</w:t>
      </w:r>
    </w:p>
  </w:footnote>
  <w:footnote w:id="44">
    <w:p w:rsidR="002E0AAC" w:rsidRPr="00AC1446" w:rsidRDefault="002E0AAC" w:rsidP="00AC1446">
      <w:pPr>
        <w:pStyle w:val="Testonotaapidipagina"/>
        <w:ind w:right="567"/>
        <w:rPr>
          <w:rFonts w:ascii="Times New Roman" w:hAnsi="Times New Roman"/>
        </w:rPr>
      </w:pPr>
      <w:r w:rsidRPr="005332D9">
        <w:rPr>
          <w:rStyle w:val="Rimandonotaapidipagina"/>
          <w:rFonts w:ascii="Times New Roman" w:hAnsi="Times New Roman"/>
        </w:rPr>
        <w:footnoteRef/>
      </w:r>
      <w:r w:rsidRPr="00453520">
        <w:rPr>
          <w:rFonts w:ascii="Times New Roman" w:hAnsi="Times New Roman"/>
          <w:lang w:val="en-US"/>
        </w:rPr>
        <w:t xml:space="preserve"> </w:t>
      </w:r>
      <w:r w:rsidRPr="00AC1446">
        <w:rPr>
          <w:rFonts w:ascii="Times New Roman" w:hAnsi="Times New Roman"/>
          <w:lang w:val="fr-FR"/>
        </w:rPr>
        <w:t xml:space="preserve">Il P. </w:t>
      </w:r>
      <w:proofErr w:type="spellStart"/>
      <w:r w:rsidRPr="00AC1446">
        <w:rPr>
          <w:rFonts w:ascii="Times New Roman" w:hAnsi="Times New Roman"/>
          <w:lang w:val="fr-FR"/>
        </w:rPr>
        <w:t>Oxy</w:t>
      </w:r>
      <w:proofErr w:type="spellEnd"/>
      <w:r w:rsidRPr="00AC1446">
        <w:rPr>
          <w:rFonts w:ascii="Times New Roman" w:hAnsi="Times New Roman"/>
          <w:lang w:val="fr-FR"/>
        </w:rPr>
        <w:t xml:space="preserve">. </w:t>
      </w:r>
      <w:r w:rsidRPr="00AC1446">
        <w:rPr>
          <w:rFonts w:ascii="Times New Roman" w:hAnsi="Times New Roman"/>
        </w:rPr>
        <w:t>XLVI, 3285, posteriore al 150 d.C., non rappresenta una traduzione in greco del medesimo codice, ma una versione greca di un’altra raccolta simile (</w:t>
      </w:r>
      <w:proofErr w:type="spellStart"/>
      <w:r w:rsidR="006B1F1A">
        <w:rPr>
          <w:rFonts w:ascii="Times New Roman" w:hAnsi="Times New Roman"/>
        </w:rPr>
        <w:t>J.R.</w:t>
      </w:r>
      <w:proofErr w:type="spellEnd"/>
      <w:r w:rsidR="006B1F1A">
        <w:rPr>
          <w:rFonts w:ascii="Times New Roman" w:hAnsi="Times New Roman"/>
        </w:rPr>
        <w:t xml:space="preserve"> </w:t>
      </w:r>
      <w:r w:rsidRPr="00AC1446">
        <w:rPr>
          <w:rFonts w:ascii="Times New Roman" w:hAnsi="Times New Roman"/>
        </w:rPr>
        <w:t xml:space="preserve">Rea, </w:t>
      </w:r>
      <w:r w:rsidRPr="00AC1446">
        <w:rPr>
          <w:rFonts w:ascii="Times New Roman" w:hAnsi="Times New Roman"/>
          <w:i/>
        </w:rPr>
        <w:t xml:space="preserve">The </w:t>
      </w:r>
      <w:proofErr w:type="spellStart"/>
      <w:r w:rsidRPr="00AC1446">
        <w:rPr>
          <w:rFonts w:ascii="Times New Roman" w:hAnsi="Times New Roman"/>
          <w:i/>
        </w:rPr>
        <w:t>Oxyrhyncus</w:t>
      </w:r>
      <w:proofErr w:type="spellEnd"/>
      <w:r w:rsidRPr="00AC1446">
        <w:rPr>
          <w:rFonts w:ascii="Times New Roman" w:hAnsi="Times New Roman"/>
          <w:i/>
        </w:rPr>
        <w:t xml:space="preserve"> </w:t>
      </w:r>
      <w:proofErr w:type="spellStart"/>
      <w:r w:rsidRPr="00AC1446">
        <w:rPr>
          <w:rFonts w:ascii="Times New Roman" w:hAnsi="Times New Roman"/>
          <w:i/>
        </w:rPr>
        <w:t>Papyri</w:t>
      </w:r>
      <w:proofErr w:type="spellEnd"/>
      <w:r w:rsidRPr="00AC1446">
        <w:rPr>
          <w:rFonts w:ascii="Times New Roman" w:hAnsi="Times New Roman"/>
        </w:rPr>
        <w:t xml:space="preserve">, XLVI, London, 1978, pp. 30-38; </w:t>
      </w:r>
      <w:proofErr w:type="spellStart"/>
      <w:r w:rsidR="006B1F1A">
        <w:rPr>
          <w:rFonts w:ascii="Times New Roman" w:hAnsi="Times New Roman"/>
        </w:rPr>
        <w:t>P.W.</w:t>
      </w:r>
      <w:proofErr w:type="spellEnd"/>
      <w:r w:rsidR="006B1F1A">
        <w:rPr>
          <w:rFonts w:ascii="Times New Roman" w:hAnsi="Times New Roman"/>
        </w:rPr>
        <w:t xml:space="preserve"> </w:t>
      </w:r>
      <w:proofErr w:type="spellStart"/>
      <w:r w:rsidRPr="00AC1446">
        <w:rPr>
          <w:rFonts w:ascii="Times New Roman" w:hAnsi="Times New Roman"/>
        </w:rPr>
        <w:t>Pestman</w:t>
      </w:r>
      <w:proofErr w:type="spellEnd"/>
      <w:r w:rsidRPr="00AC1446">
        <w:rPr>
          <w:rFonts w:ascii="Times New Roman" w:hAnsi="Times New Roman"/>
        </w:rPr>
        <w:t xml:space="preserve">, </w:t>
      </w:r>
      <w:r w:rsidRPr="00AC1446">
        <w:rPr>
          <w:rFonts w:ascii="Times New Roman" w:hAnsi="Times New Roman"/>
          <w:i/>
        </w:rPr>
        <w:t xml:space="preserve">Le </w:t>
      </w:r>
      <w:proofErr w:type="spellStart"/>
      <w:r w:rsidRPr="00AC1446">
        <w:rPr>
          <w:rFonts w:ascii="Times New Roman" w:hAnsi="Times New Roman"/>
          <w:i/>
        </w:rPr>
        <w:t>manuel</w:t>
      </w:r>
      <w:proofErr w:type="spellEnd"/>
      <w:r w:rsidRPr="00AC1446">
        <w:rPr>
          <w:rFonts w:ascii="Times New Roman" w:hAnsi="Times New Roman"/>
          <w:i/>
        </w:rPr>
        <w:t xml:space="preserve"> de </w:t>
      </w:r>
      <w:proofErr w:type="spellStart"/>
      <w:r w:rsidRPr="00AC1446">
        <w:rPr>
          <w:rFonts w:ascii="Times New Roman" w:hAnsi="Times New Roman"/>
          <w:i/>
        </w:rPr>
        <w:t>droit</w:t>
      </w:r>
      <w:proofErr w:type="spellEnd"/>
      <w:r w:rsidRPr="00AC1446">
        <w:rPr>
          <w:rFonts w:ascii="Times New Roman" w:hAnsi="Times New Roman"/>
          <w:i/>
        </w:rPr>
        <w:t xml:space="preserve"> </w:t>
      </w:r>
      <w:proofErr w:type="spellStart"/>
      <w:r w:rsidRPr="00AC1446">
        <w:rPr>
          <w:rFonts w:ascii="Times New Roman" w:hAnsi="Times New Roman"/>
          <w:i/>
        </w:rPr>
        <w:t>égyptien</w:t>
      </w:r>
      <w:proofErr w:type="spellEnd"/>
      <w:r w:rsidRPr="00AC1446">
        <w:rPr>
          <w:rFonts w:ascii="Times New Roman" w:hAnsi="Times New Roman"/>
          <w:i/>
        </w:rPr>
        <w:t xml:space="preserve"> d’</w:t>
      </w:r>
      <w:proofErr w:type="spellStart"/>
      <w:r w:rsidRPr="00AC1446">
        <w:rPr>
          <w:rFonts w:ascii="Times New Roman" w:hAnsi="Times New Roman"/>
          <w:i/>
        </w:rPr>
        <w:t>Hermoupolis</w:t>
      </w:r>
      <w:proofErr w:type="spellEnd"/>
      <w:r w:rsidRPr="00AC1446">
        <w:rPr>
          <w:rFonts w:ascii="Times New Roman" w:hAnsi="Times New Roman"/>
          <w:i/>
        </w:rPr>
        <w:t xml:space="preserve">. </w:t>
      </w:r>
      <w:r w:rsidRPr="00AC1446">
        <w:rPr>
          <w:rFonts w:ascii="Times New Roman" w:hAnsi="Times New Roman"/>
          <w:i/>
          <w:lang w:val="fr-FR"/>
        </w:rPr>
        <w:t xml:space="preserve">Les passages transmis en démotique et en grec, </w:t>
      </w:r>
      <w:r w:rsidRPr="00AC1446">
        <w:rPr>
          <w:rFonts w:ascii="Times New Roman" w:hAnsi="Times New Roman"/>
          <w:lang w:val="fr-FR"/>
        </w:rPr>
        <w:t xml:space="preserve">Textes et études de papyrologie grecque démotique et copte, Leyde, 1985 (P. </w:t>
      </w:r>
      <w:proofErr w:type="spellStart"/>
      <w:r w:rsidRPr="00AC1446">
        <w:rPr>
          <w:rFonts w:ascii="Times New Roman" w:hAnsi="Times New Roman"/>
          <w:lang w:val="fr-FR"/>
        </w:rPr>
        <w:t>Lugd</w:t>
      </w:r>
      <w:proofErr w:type="spellEnd"/>
      <w:r w:rsidRPr="00AC1446">
        <w:rPr>
          <w:rFonts w:ascii="Times New Roman" w:hAnsi="Times New Roman"/>
          <w:lang w:val="fr-FR"/>
        </w:rPr>
        <w:t xml:space="preserve">. Bat. 23), pp. 116-143. </w:t>
      </w:r>
      <w:r w:rsidRPr="00AC1446">
        <w:rPr>
          <w:rFonts w:ascii="Times New Roman" w:hAnsi="Times New Roman"/>
        </w:rPr>
        <w:t xml:space="preserve">Ad un’altra raccolta in demotico rinviano i frammenti di </w:t>
      </w:r>
      <w:proofErr w:type="spellStart"/>
      <w:r w:rsidRPr="00AC1446">
        <w:rPr>
          <w:rFonts w:ascii="Times New Roman" w:hAnsi="Times New Roman"/>
        </w:rPr>
        <w:t>Tebtynis</w:t>
      </w:r>
      <w:proofErr w:type="spellEnd"/>
      <w:r w:rsidRPr="00AC1446">
        <w:rPr>
          <w:rFonts w:ascii="Times New Roman" w:hAnsi="Times New Roman"/>
        </w:rPr>
        <w:t xml:space="preserve"> pubblicati nel 1981 da </w:t>
      </w:r>
      <w:r w:rsidR="006B1F1A">
        <w:rPr>
          <w:rFonts w:ascii="Times New Roman" w:hAnsi="Times New Roman"/>
        </w:rPr>
        <w:t xml:space="preserve">E. </w:t>
      </w:r>
      <w:r w:rsidRPr="00AC1446">
        <w:rPr>
          <w:rFonts w:ascii="Times New Roman" w:hAnsi="Times New Roman"/>
        </w:rPr>
        <w:t xml:space="preserve">Bresciani, </w:t>
      </w:r>
      <w:r w:rsidRPr="00AC1446">
        <w:rPr>
          <w:rFonts w:ascii="Times New Roman" w:hAnsi="Times New Roman"/>
          <w:i/>
        </w:rPr>
        <w:t xml:space="preserve">Frammenti di un ‘prontuario legale’ demotico da </w:t>
      </w:r>
      <w:proofErr w:type="spellStart"/>
      <w:r w:rsidRPr="00AC1446">
        <w:rPr>
          <w:rFonts w:ascii="Times New Roman" w:hAnsi="Times New Roman"/>
          <w:i/>
        </w:rPr>
        <w:t>Tebtynis</w:t>
      </w:r>
      <w:proofErr w:type="spellEnd"/>
      <w:r w:rsidRPr="00AC1446">
        <w:rPr>
          <w:rFonts w:ascii="Times New Roman" w:hAnsi="Times New Roman"/>
        </w:rPr>
        <w:t xml:space="preserve">, Egitto e Vicino Oriente, 4, 1981, pp. 201-215.  </w:t>
      </w:r>
    </w:p>
  </w:footnote>
  <w:footnote w:id="45">
    <w:p w:rsidR="002E0AAC" w:rsidRPr="00AC1446" w:rsidRDefault="002E0AAC" w:rsidP="00AC1446">
      <w:pPr>
        <w:pStyle w:val="Testonotaapidipagina"/>
        <w:ind w:right="567"/>
        <w:rPr>
          <w:rFonts w:ascii="Times New Roman" w:hAnsi="Times New Roman"/>
          <w:lang w:val="fr-FR"/>
        </w:rPr>
      </w:pPr>
      <w:r w:rsidRPr="005332D9">
        <w:rPr>
          <w:rStyle w:val="Rimandonotaapidipagina"/>
          <w:rFonts w:ascii="Times New Roman" w:hAnsi="Times New Roman"/>
        </w:rPr>
        <w:footnoteRef/>
      </w:r>
      <w:r w:rsidRPr="005332D9">
        <w:rPr>
          <w:rFonts w:ascii="Times New Roman" w:hAnsi="Times New Roman"/>
        </w:rPr>
        <w:t xml:space="preserve"> </w:t>
      </w:r>
      <w:r w:rsidR="006B1F1A">
        <w:rPr>
          <w:rFonts w:ascii="Times New Roman" w:hAnsi="Times New Roman"/>
        </w:rPr>
        <w:t xml:space="preserve">J. </w:t>
      </w:r>
      <w:proofErr w:type="spellStart"/>
      <w:r w:rsidRPr="00AC1446">
        <w:rPr>
          <w:rFonts w:ascii="Times New Roman" w:hAnsi="Times New Roman"/>
          <w:lang w:val="fr-FR"/>
        </w:rPr>
        <w:t>Quaegebeur</w:t>
      </w:r>
      <w:proofErr w:type="spellEnd"/>
      <w:r w:rsidRPr="00AC1446">
        <w:rPr>
          <w:rFonts w:ascii="Times New Roman" w:hAnsi="Times New Roman"/>
          <w:lang w:val="fr-FR"/>
        </w:rPr>
        <w:t xml:space="preserve">, </w:t>
      </w:r>
      <w:r w:rsidRPr="00AC1446">
        <w:rPr>
          <w:rFonts w:ascii="Times New Roman" w:hAnsi="Times New Roman"/>
          <w:i/>
          <w:lang w:val="fr-FR"/>
        </w:rPr>
        <w:t>Sur la ‘loi sacrée’ dans l’Égypte gréco-romaine</w:t>
      </w:r>
      <w:r w:rsidRPr="00AC1446">
        <w:rPr>
          <w:rFonts w:ascii="Times New Roman" w:hAnsi="Times New Roman"/>
          <w:lang w:val="fr-FR"/>
        </w:rPr>
        <w:t xml:space="preserve">, Anc. Soc., 2, 1980-1, pp. 227-240; </w:t>
      </w:r>
      <w:r w:rsidR="006B1F1A">
        <w:rPr>
          <w:rFonts w:ascii="Times New Roman" w:hAnsi="Times New Roman"/>
          <w:lang w:val="fr-FR"/>
        </w:rPr>
        <w:t xml:space="preserve">J. </w:t>
      </w:r>
      <w:r w:rsidRPr="00AC1446">
        <w:rPr>
          <w:rFonts w:ascii="Times New Roman" w:hAnsi="Times New Roman"/>
          <w:lang w:val="fr-FR"/>
        </w:rPr>
        <w:t>Mélèze-</w:t>
      </w:r>
      <w:proofErr w:type="spellStart"/>
      <w:r w:rsidRPr="00AC1446">
        <w:rPr>
          <w:rFonts w:ascii="Times New Roman" w:hAnsi="Times New Roman"/>
          <w:lang w:val="fr-FR"/>
        </w:rPr>
        <w:t>Modrzejewski</w:t>
      </w:r>
      <w:proofErr w:type="spellEnd"/>
      <w:r w:rsidRPr="00AC1446">
        <w:rPr>
          <w:rFonts w:ascii="Times New Roman" w:hAnsi="Times New Roman"/>
          <w:lang w:val="fr-FR"/>
        </w:rPr>
        <w:t xml:space="preserve">, </w:t>
      </w:r>
      <w:r w:rsidRPr="00AC1446">
        <w:rPr>
          <w:rFonts w:ascii="Times New Roman" w:hAnsi="Times New Roman"/>
          <w:i/>
          <w:lang w:val="fr-FR"/>
        </w:rPr>
        <w:t xml:space="preserve">op. </w:t>
      </w:r>
      <w:proofErr w:type="spellStart"/>
      <w:r w:rsidRPr="00AC1446">
        <w:rPr>
          <w:rFonts w:ascii="Times New Roman" w:hAnsi="Times New Roman"/>
          <w:i/>
          <w:lang w:val="fr-FR"/>
        </w:rPr>
        <w:t>cit</w:t>
      </w:r>
      <w:proofErr w:type="spellEnd"/>
      <w:r w:rsidRPr="00AC1446">
        <w:rPr>
          <w:rFonts w:ascii="Times New Roman" w:hAnsi="Times New Roman"/>
          <w:i/>
          <w:lang w:val="fr-FR"/>
        </w:rPr>
        <w:t>.</w:t>
      </w:r>
      <w:r w:rsidRPr="00AC1446">
        <w:rPr>
          <w:rFonts w:ascii="Times New Roman" w:hAnsi="Times New Roman"/>
          <w:lang w:val="fr-FR"/>
        </w:rPr>
        <w:t>, p. 384.</w:t>
      </w:r>
      <w:r>
        <w:rPr>
          <w:rFonts w:ascii="Times New Roman" w:hAnsi="Times New Roman"/>
          <w:lang w:val="fr-FR"/>
        </w:rPr>
        <w:t xml:space="preserve"> Esse </w:t>
      </w:r>
      <w:proofErr w:type="spellStart"/>
      <w:r>
        <w:rPr>
          <w:rFonts w:ascii="Times New Roman" w:hAnsi="Times New Roman"/>
          <w:lang w:val="fr-FR"/>
        </w:rPr>
        <w:t>sarebbero</w:t>
      </w:r>
      <w:proofErr w:type="spellEnd"/>
      <w:r>
        <w:rPr>
          <w:rFonts w:ascii="Times New Roman" w:hAnsi="Times New Roman"/>
          <w:lang w:val="fr-FR"/>
        </w:rPr>
        <w:t xml:space="preserve"> state </w:t>
      </w:r>
      <w:r w:rsidRPr="00AC1446">
        <w:rPr>
          <w:rFonts w:ascii="Times New Roman" w:hAnsi="Times New Roman"/>
        </w:rPr>
        <w:t>tradotte dal demotico in greco (</w:t>
      </w:r>
      <w:proofErr w:type="spellStart"/>
      <w:r w:rsidRPr="00AC1446">
        <w:rPr>
          <w:rFonts w:ascii="Times New Roman" w:hAnsi="Times New Roman"/>
          <w:i/>
        </w:rPr>
        <w:t>nómoi</w:t>
      </w:r>
      <w:proofErr w:type="spellEnd"/>
      <w:r w:rsidRPr="00AC1446">
        <w:rPr>
          <w:rFonts w:ascii="Times New Roman" w:hAnsi="Times New Roman"/>
          <w:i/>
        </w:rPr>
        <w:t xml:space="preserve"> </w:t>
      </w:r>
      <w:proofErr w:type="spellStart"/>
      <w:r w:rsidRPr="00AC1446">
        <w:rPr>
          <w:rFonts w:ascii="Times New Roman" w:hAnsi="Times New Roman"/>
          <w:i/>
        </w:rPr>
        <w:t>tês</w:t>
      </w:r>
      <w:proofErr w:type="spellEnd"/>
      <w:r w:rsidRPr="00AC1446">
        <w:rPr>
          <w:rFonts w:ascii="Times New Roman" w:hAnsi="Times New Roman"/>
          <w:i/>
        </w:rPr>
        <w:t xml:space="preserve"> </w:t>
      </w:r>
      <w:proofErr w:type="spellStart"/>
      <w:r w:rsidRPr="00AC1446">
        <w:rPr>
          <w:rFonts w:ascii="Times New Roman" w:hAnsi="Times New Roman"/>
          <w:i/>
        </w:rPr>
        <w:t>chóras</w:t>
      </w:r>
      <w:proofErr w:type="spellEnd"/>
      <w:r w:rsidRPr="00AC1446">
        <w:rPr>
          <w:rFonts w:ascii="Times New Roman" w:hAnsi="Times New Roman"/>
        </w:rPr>
        <w:t>, leggi del paese) sotto il regno di T</w:t>
      </w:r>
      <w:r>
        <w:rPr>
          <w:rFonts w:ascii="Times New Roman" w:hAnsi="Times New Roman"/>
        </w:rPr>
        <w:t xml:space="preserve">olomeo II </w:t>
      </w:r>
      <w:proofErr w:type="spellStart"/>
      <w:r>
        <w:rPr>
          <w:rFonts w:ascii="Times New Roman" w:hAnsi="Times New Roman"/>
        </w:rPr>
        <w:t>Filadelfo</w:t>
      </w:r>
      <w:proofErr w:type="spellEnd"/>
      <w:r>
        <w:rPr>
          <w:rFonts w:ascii="Times New Roman" w:hAnsi="Times New Roman"/>
        </w:rPr>
        <w:t xml:space="preserve"> (308-</w:t>
      </w:r>
      <w:r w:rsidRPr="00AC1446">
        <w:rPr>
          <w:rFonts w:ascii="Times New Roman" w:hAnsi="Times New Roman"/>
        </w:rPr>
        <w:t>246 a.C.)</w:t>
      </w:r>
      <w:r>
        <w:rPr>
          <w:rFonts w:ascii="Times New Roman" w:hAnsi="Times New Roman"/>
        </w:rPr>
        <w:t>. Cfr. J.</w:t>
      </w:r>
      <w:r w:rsidRPr="00AC1446">
        <w:rPr>
          <w:rFonts w:ascii="Times New Roman" w:hAnsi="Times New Roman"/>
          <w:lang w:val="fr-FR"/>
        </w:rPr>
        <w:t xml:space="preserve"> Mélèze-</w:t>
      </w:r>
      <w:proofErr w:type="spellStart"/>
      <w:r w:rsidRPr="00AC1446">
        <w:rPr>
          <w:rFonts w:ascii="Times New Roman" w:hAnsi="Times New Roman"/>
          <w:lang w:val="fr-FR"/>
        </w:rPr>
        <w:t>Modrzejewski</w:t>
      </w:r>
      <w:proofErr w:type="spellEnd"/>
      <w:r w:rsidRPr="00AC1446">
        <w:rPr>
          <w:rFonts w:ascii="Times New Roman" w:hAnsi="Times New Roman"/>
          <w:lang w:val="fr-FR"/>
        </w:rPr>
        <w:t xml:space="preserve">, </w:t>
      </w:r>
      <w:r w:rsidRPr="00AC1446">
        <w:rPr>
          <w:rFonts w:ascii="Times New Roman" w:hAnsi="Times New Roman"/>
          <w:i/>
          <w:lang w:val="fr-FR"/>
        </w:rPr>
        <w:t>Livres sacrées et justice lagide</w:t>
      </w:r>
      <w:r w:rsidRPr="00AC1446">
        <w:rPr>
          <w:rFonts w:ascii="Times New Roman" w:hAnsi="Times New Roman"/>
          <w:lang w:val="fr-FR"/>
        </w:rPr>
        <w:t xml:space="preserve">, Acta </w:t>
      </w:r>
      <w:proofErr w:type="spellStart"/>
      <w:r w:rsidRPr="00AC1446">
        <w:rPr>
          <w:rFonts w:ascii="Times New Roman" w:hAnsi="Times New Roman"/>
          <w:lang w:val="fr-FR"/>
        </w:rPr>
        <w:t>Universitatis</w:t>
      </w:r>
      <w:proofErr w:type="spellEnd"/>
      <w:r w:rsidRPr="00AC1446">
        <w:rPr>
          <w:rFonts w:ascii="Times New Roman" w:hAnsi="Times New Roman"/>
          <w:lang w:val="fr-FR"/>
        </w:rPr>
        <w:t xml:space="preserve"> </w:t>
      </w:r>
      <w:proofErr w:type="spellStart"/>
      <w:r w:rsidRPr="00AC1446">
        <w:rPr>
          <w:rFonts w:ascii="Times New Roman" w:hAnsi="Times New Roman"/>
          <w:lang w:val="fr-FR"/>
        </w:rPr>
        <w:t>Lodziensis</w:t>
      </w:r>
      <w:proofErr w:type="spellEnd"/>
      <w:r w:rsidRPr="00AC1446">
        <w:rPr>
          <w:rFonts w:ascii="Times New Roman" w:hAnsi="Times New Roman"/>
          <w:lang w:val="fr-FR"/>
        </w:rPr>
        <w:t xml:space="preserve">, </w:t>
      </w:r>
      <w:proofErr w:type="spellStart"/>
      <w:r w:rsidRPr="00AC1446">
        <w:rPr>
          <w:rFonts w:ascii="Times New Roman" w:hAnsi="Times New Roman"/>
          <w:lang w:val="fr-FR"/>
        </w:rPr>
        <w:t>Folia</w:t>
      </w:r>
      <w:proofErr w:type="spellEnd"/>
      <w:r w:rsidRPr="00AC1446">
        <w:rPr>
          <w:rFonts w:ascii="Times New Roman" w:hAnsi="Times New Roman"/>
          <w:lang w:val="fr-FR"/>
        </w:rPr>
        <w:t xml:space="preserve"> </w:t>
      </w:r>
      <w:proofErr w:type="spellStart"/>
      <w:r w:rsidRPr="00AC1446">
        <w:rPr>
          <w:rFonts w:ascii="Times New Roman" w:hAnsi="Times New Roman"/>
          <w:lang w:val="fr-FR"/>
        </w:rPr>
        <w:t>Iuridica</w:t>
      </w:r>
      <w:proofErr w:type="spellEnd"/>
      <w:r w:rsidRPr="00AC1446">
        <w:rPr>
          <w:rFonts w:ascii="Times New Roman" w:hAnsi="Times New Roman"/>
          <w:lang w:val="fr-FR"/>
        </w:rPr>
        <w:t xml:space="preserve">, 21 (Mélanges </w:t>
      </w:r>
      <w:proofErr w:type="spellStart"/>
      <w:r w:rsidRPr="00AC1446">
        <w:rPr>
          <w:rFonts w:ascii="Times New Roman" w:hAnsi="Times New Roman"/>
          <w:lang w:val="fr-FR"/>
        </w:rPr>
        <w:t>Kunderewicz</w:t>
      </w:r>
      <w:proofErr w:type="spellEnd"/>
      <w:r w:rsidRPr="00AC1446">
        <w:rPr>
          <w:rFonts w:ascii="Times New Roman" w:hAnsi="Times New Roman"/>
          <w:lang w:val="fr-FR"/>
        </w:rPr>
        <w:t xml:space="preserve">), Lodz, 1986, pp. 11- 44; </w:t>
      </w:r>
      <w:r w:rsidR="006B1F1A">
        <w:rPr>
          <w:rFonts w:ascii="Times New Roman" w:hAnsi="Times New Roman"/>
          <w:lang w:val="fr-FR"/>
        </w:rPr>
        <w:t xml:space="preserve">S. </w:t>
      </w:r>
      <w:proofErr w:type="spellStart"/>
      <w:r w:rsidRPr="00AC1446">
        <w:rPr>
          <w:rFonts w:ascii="Times New Roman" w:hAnsi="Times New Roman"/>
          <w:lang w:val="fr-FR"/>
        </w:rPr>
        <w:t>Allam</w:t>
      </w:r>
      <w:proofErr w:type="spellEnd"/>
      <w:r w:rsidRPr="00AC1446">
        <w:rPr>
          <w:rFonts w:ascii="Times New Roman" w:hAnsi="Times New Roman"/>
          <w:lang w:val="fr-FR"/>
        </w:rPr>
        <w:t xml:space="preserve">, </w:t>
      </w:r>
      <w:r w:rsidRPr="00AC1446">
        <w:rPr>
          <w:rFonts w:ascii="Times New Roman" w:hAnsi="Times New Roman"/>
          <w:i/>
          <w:lang w:val="fr-FR"/>
        </w:rPr>
        <w:t xml:space="preserve">Réflexions sur le ‘Code légal’ d’Hermopolis, </w:t>
      </w:r>
      <w:proofErr w:type="spellStart"/>
      <w:r w:rsidRPr="00AC1446">
        <w:rPr>
          <w:rFonts w:ascii="Times New Roman" w:hAnsi="Times New Roman"/>
          <w:lang w:val="fr-FR"/>
        </w:rPr>
        <w:t>Chron</w:t>
      </w:r>
      <w:proofErr w:type="spellEnd"/>
      <w:r w:rsidRPr="00AC1446">
        <w:rPr>
          <w:rFonts w:ascii="Times New Roman" w:hAnsi="Times New Roman"/>
          <w:lang w:val="fr-FR"/>
        </w:rPr>
        <w:t>. d’Égypte 61, 1986, pp. 50-75.</w:t>
      </w:r>
    </w:p>
  </w:footnote>
  <w:footnote w:id="46">
    <w:p w:rsidR="002E0AAC" w:rsidRPr="00453520" w:rsidRDefault="002E0AAC">
      <w:pPr>
        <w:pStyle w:val="Testonotaapidipagina"/>
        <w:rPr>
          <w:rFonts w:ascii="Times New Roman" w:hAnsi="Times New Roman"/>
        </w:rPr>
      </w:pPr>
      <w:r w:rsidRPr="005332D9">
        <w:rPr>
          <w:rStyle w:val="Rimandonotaapidipagina"/>
          <w:rFonts w:ascii="Times New Roman" w:hAnsi="Times New Roman"/>
        </w:rPr>
        <w:footnoteRef/>
      </w:r>
      <w:r w:rsidRPr="00AC1446">
        <w:rPr>
          <w:rFonts w:ascii="Times New Roman" w:hAnsi="Times New Roman"/>
          <w:lang w:val="en-US"/>
        </w:rPr>
        <w:t xml:space="preserve"> </w:t>
      </w:r>
      <w:proofErr w:type="spellStart"/>
      <w:r>
        <w:rPr>
          <w:rFonts w:ascii="Times New Roman" w:hAnsi="Times New Roman"/>
          <w:lang w:val="en-US"/>
        </w:rPr>
        <w:t>P.Hal</w:t>
      </w:r>
      <w:proofErr w:type="spellEnd"/>
      <w:r>
        <w:rPr>
          <w:rFonts w:ascii="Times New Roman" w:hAnsi="Times New Roman"/>
          <w:lang w:val="en-US"/>
        </w:rPr>
        <w:t xml:space="preserve">. 1. </w:t>
      </w:r>
      <w:proofErr w:type="spellStart"/>
      <w:r>
        <w:rPr>
          <w:rFonts w:ascii="Times New Roman" w:hAnsi="Times New Roman"/>
          <w:lang w:val="en-US"/>
        </w:rPr>
        <w:t>Cfr</w:t>
      </w:r>
      <w:proofErr w:type="spellEnd"/>
      <w:r>
        <w:rPr>
          <w:rFonts w:ascii="Times New Roman" w:hAnsi="Times New Roman"/>
          <w:lang w:val="en-US"/>
        </w:rPr>
        <w:t xml:space="preserve">. </w:t>
      </w:r>
      <w:r w:rsidR="004237C3">
        <w:rPr>
          <w:rFonts w:ascii="Times New Roman" w:hAnsi="Times New Roman"/>
          <w:lang w:val="en-US"/>
        </w:rPr>
        <w:t xml:space="preserve">M.T. </w:t>
      </w:r>
      <w:proofErr w:type="spellStart"/>
      <w:r>
        <w:rPr>
          <w:rFonts w:ascii="Times New Roman" w:hAnsi="Times New Roman"/>
          <w:lang w:val="fr-FR"/>
        </w:rPr>
        <w:t>Lenger</w:t>
      </w:r>
      <w:proofErr w:type="spellEnd"/>
      <w:r>
        <w:rPr>
          <w:rFonts w:ascii="Times New Roman" w:hAnsi="Times New Roman"/>
          <w:lang w:val="fr-FR"/>
        </w:rPr>
        <w:t xml:space="preserve">,   </w:t>
      </w:r>
      <w:r>
        <w:rPr>
          <w:rFonts w:ascii="Times New Roman" w:hAnsi="Times New Roman"/>
          <w:i/>
          <w:lang w:val="fr-FR"/>
        </w:rPr>
        <w:t xml:space="preserve">Corpus   des   Ordonnances  des  </w:t>
      </w:r>
      <w:proofErr w:type="spellStart"/>
      <w:r>
        <w:rPr>
          <w:rFonts w:ascii="Times New Roman" w:hAnsi="Times New Roman"/>
          <w:i/>
          <w:lang w:val="fr-FR"/>
        </w:rPr>
        <w:t>Ptolémées</w:t>
      </w:r>
      <w:proofErr w:type="spellEnd"/>
      <w:r>
        <w:rPr>
          <w:rFonts w:ascii="Times New Roman" w:hAnsi="Times New Roman"/>
          <w:lang w:val="fr-FR"/>
        </w:rPr>
        <w:t>, Bruxelles, 1964 (</w:t>
      </w:r>
      <w:proofErr w:type="spellStart"/>
      <w:r>
        <w:rPr>
          <w:rFonts w:ascii="Times New Roman" w:hAnsi="Times New Roman"/>
          <w:lang w:val="fr-FR"/>
        </w:rPr>
        <w:t>rist</w:t>
      </w:r>
      <w:proofErr w:type="spellEnd"/>
      <w:r>
        <w:rPr>
          <w:rFonts w:ascii="Times New Roman" w:hAnsi="Times New Roman"/>
          <w:lang w:val="fr-FR"/>
        </w:rPr>
        <w:t xml:space="preserve">. </w:t>
      </w:r>
      <w:r w:rsidRPr="00453520">
        <w:rPr>
          <w:rFonts w:ascii="Times New Roman" w:hAnsi="Times New Roman"/>
        </w:rPr>
        <w:t>1980).</w:t>
      </w:r>
    </w:p>
  </w:footnote>
  <w:footnote w:id="47">
    <w:p w:rsidR="002E0AAC" w:rsidRPr="00B35B0D" w:rsidRDefault="002E0AAC" w:rsidP="00F02D2E">
      <w:pPr>
        <w:pStyle w:val="Testonotaapidipagina"/>
        <w:ind w:right="567"/>
        <w:rPr>
          <w:rFonts w:ascii="Times New Roman" w:hAnsi="Times New Roman"/>
        </w:rPr>
      </w:pPr>
      <w:r w:rsidRPr="005332D9">
        <w:rPr>
          <w:rStyle w:val="Rimandonotaapidipagina"/>
          <w:rFonts w:ascii="Times New Roman" w:hAnsi="Times New Roman"/>
        </w:rPr>
        <w:footnoteRef/>
      </w:r>
      <w:r w:rsidRPr="005332D9">
        <w:rPr>
          <w:rFonts w:ascii="Times New Roman" w:hAnsi="Times New Roman"/>
        </w:rPr>
        <w:t xml:space="preserve"> Sull'apprezzamento dei precedenti giudiziari</w:t>
      </w:r>
      <w:r w:rsidRPr="00B35B0D">
        <w:rPr>
          <w:rFonts w:ascii="Times New Roman" w:hAnsi="Times New Roman"/>
        </w:rPr>
        <w:t xml:space="preserve"> da parte dei gi</w:t>
      </w:r>
      <w:r>
        <w:rPr>
          <w:rFonts w:ascii="Times New Roman" w:hAnsi="Times New Roman"/>
        </w:rPr>
        <w:t xml:space="preserve">udici nell' Egitto romano v. </w:t>
      </w:r>
      <w:r w:rsidRPr="00B35B0D">
        <w:rPr>
          <w:rFonts w:ascii="Times New Roman" w:hAnsi="Times New Roman"/>
        </w:rPr>
        <w:t xml:space="preserve">B. </w:t>
      </w:r>
      <w:proofErr w:type="spellStart"/>
      <w:r w:rsidRPr="00B35B0D">
        <w:rPr>
          <w:rFonts w:ascii="Times New Roman" w:hAnsi="Times New Roman"/>
        </w:rPr>
        <w:t>Anagnostou-</w:t>
      </w:r>
      <w:proofErr w:type="spellEnd"/>
      <w:r w:rsidRPr="00B35B0D">
        <w:rPr>
          <w:rFonts w:ascii="Times New Roman" w:hAnsi="Times New Roman"/>
        </w:rPr>
        <w:t xml:space="preserve"> </w:t>
      </w:r>
      <w:proofErr w:type="spellStart"/>
      <w:r w:rsidRPr="00B35B0D">
        <w:rPr>
          <w:rFonts w:ascii="Times New Roman" w:hAnsi="Times New Roman"/>
        </w:rPr>
        <w:t>Canas</w:t>
      </w:r>
      <w:proofErr w:type="spellEnd"/>
      <w:r w:rsidRPr="00B35B0D">
        <w:rPr>
          <w:rFonts w:ascii="Times New Roman" w:hAnsi="Times New Roman"/>
        </w:rPr>
        <w:t xml:space="preserve">, </w:t>
      </w:r>
      <w:proofErr w:type="spellStart"/>
      <w:r w:rsidRPr="00B35B0D">
        <w:rPr>
          <w:rFonts w:ascii="Times New Roman" w:hAnsi="Times New Roman"/>
          <w:i/>
        </w:rPr>
        <w:t>Juge</w:t>
      </w:r>
      <w:proofErr w:type="spellEnd"/>
      <w:r w:rsidRPr="00B35B0D">
        <w:rPr>
          <w:rFonts w:ascii="Times New Roman" w:hAnsi="Times New Roman"/>
          <w:i/>
        </w:rPr>
        <w:t xml:space="preserve"> </w:t>
      </w:r>
      <w:proofErr w:type="spellStart"/>
      <w:r w:rsidRPr="00B35B0D">
        <w:rPr>
          <w:rFonts w:ascii="Times New Roman" w:hAnsi="Times New Roman"/>
          <w:i/>
        </w:rPr>
        <w:t>et</w:t>
      </w:r>
      <w:proofErr w:type="spellEnd"/>
      <w:r w:rsidRPr="00B35B0D">
        <w:rPr>
          <w:rFonts w:ascii="Times New Roman" w:hAnsi="Times New Roman"/>
          <w:i/>
        </w:rPr>
        <w:t xml:space="preserve"> </w:t>
      </w:r>
      <w:proofErr w:type="spellStart"/>
      <w:r w:rsidRPr="00B35B0D">
        <w:rPr>
          <w:rFonts w:ascii="Times New Roman" w:hAnsi="Times New Roman"/>
          <w:i/>
        </w:rPr>
        <w:t>sentence</w:t>
      </w:r>
      <w:proofErr w:type="spellEnd"/>
      <w:r w:rsidRPr="00B35B0D">
        <w:rPr>
          <w:rFonts w:ascii="Times New Roman" w:hAnsi="Times New Roman"/>
          <w:i/>
        </w:rPr>
        <w:t xml:space="preserve"> </w:t>
      </w:r>
      <w:proofErr w:type="spellStart"/>
      <w:r w:rsidRPr="00B35B0D">
        <w:rPr>
          <w:rFonts w:ascii="Times New Roman" w:hAnsi="Times New Roman"/>
          <w:i/>
        </w:rPr>
        <w:t>dans</w:t>
      </w:r>
      <w:proofErr w:type="spellEnd"/>
      <w:r w:rsidRPr="00B35B0D">
        <w:rPr>
          <w:rFonts w:ascii="Times New Roman" w:hAnsi="Times New Roman"/>
          <w:i/>
        </w:rPr>
        <w:t xml:space="preserve"> l'</w:t>
      </w:r>
      <w:proofErr w:type="spellStart"/>
      <w:r w:rsidRPr="00B35B0D">
        <w:rPr>
          <w:rFonts w:ascii="Times New Roman" w:hAnsi="Times New Roman"/>
          <w:i/>
        </w:rPr>
        <w:t>Égypte</w:t>
      </w:r>
      <w:proofErr w:type="spellEnd"/>
      <w:r w:rsidRPr="00B35B0D">
        <w:rPr>
          <w:rFonts w:ascii="Times New Roman" w:hAnsi="Times New Roman"/>
          <w:i/>
        </w:rPr>
        <w:t xml:space="preserve"> </w:t>
      </w:r>
      <w:proofErr w:type="spellStart"/>
      <w:r w:rsidRPr="00B35B0D">
        <w:rPr>
          <w:rFonts w:ascii="Times New Roman" w:hAnsi="Times New Roman"/>
          <w:i/>
        </w:rPr>
        <w:t>romaine</w:t>
      </w:r>
      <w:proofErr w:type="spellEnd"/>
      <w:r w:rsidRPr="00B35B0D">
        <w:rPr>
          <w:rFonts w:ascii="Times New Roman" w:hAnsi="Times New Roman"/>
        </w:rPr>
        <w:t xml:space="preserve">, </w:t>
      </w:r>
      <w:proofErr w:type="spellStart"/>
      <w:r w:rsidRPr="00B35B0D">
        <w:rPr>
          <w:rFonts w:ascii="Times New Roman" w:hAnsi="Times New Roman"/>
        </w:rPr>
        <w:t>Paris</w:t>
      </w:r>
      <w:proofErr w:type="spellEnd"/>
      <w:r w:rsidRPr="00B35B0D">
        <w:rPr>
          <w:rFonts w:ascii="Times New Roman" w:hAnsi="Times New Roman"/>
        </w:rPr>
        <w:t>, 1991, pp. 244 ss.</w:t>
      </w:r>
    </w:p>
  </w:footnote>
  <w:footnote w:id="48">
    <w:p w:rsidR="002E0AAC" w:rsidRDefault="002E0AAC" w:rsidP="0026094C">
      <w:pPr>
        <w:pStyle w:val="Testonormale"/>
        <w:ind w:right="567"/>
        <w:rPr>
          <w:rFonts w:ascii="Times New Roman" w:hAnsi="Times New Roman"/>
        </w:rPr>
      </w:pPr>
      <w:r>
        <w:rPr>
          <w:rStyle w:val="Rimandonotaapidipagina"/>
          <w:rFonts w:ascii="Times New Roman" w:hAnsi="Times New Roman"/>
        </w:rPr>
        <w:footnoteRef/>
      </w:r>
      <w:r w:rsidRPr="006B0D33">
        <w:rPr>
          <w:rFonts w:ascii="Times New Roman" w:hAnsi="Times New Roman"/>
          <w:lang w:val="en-US"/>
        </w:rPr>
        <w:t xml:space="preserve"> R. </w:t>
      </w:r>
      <w:proofErr w:type="spellStart"/>
      <w:r w:rsidRPr="006B0D33">
        <w:rPr>
          <w:rFonts w:ascii="Times New Roman" w:hAnsi="Times New Roman"/>
          <w:lang w:val="en-US"/>
        </w:rPr>
        <w:t>Katzoff</w:t>
      </w:r>
      <w:proofErr w:type="spellEnd"/>
      <w:r w:rsidRPr="006B0D33">
        <w:rPr>
          <w:rFonts w:ascii="Times New Roman" w:hAnsi="Times New Roman"/>
          <w:lang w:val="en-US"/>
        </w:rPr>
        <w:t xml:space="preserve">, </w:t>
      </w:r>
      <w:r w:rsidRPr="006B0D33">
        <w:rPr>
          <w:rFonts w:ascii="Times New Roman" w:hAnsi="Times New Roman"/>
          <w:i/>
          <w:lang w:val="en-US"/>
        </w:rPr>
        <w:t xml:space="preserve"> Precedents</w:t>
      </w:r>
      <w:r w:rsidRPr="006B0D33">
        <w:rPr>
          <w:rFonts w:ascii="Times New Roman" w:hAnsi="Times New Roman"/>
          <w:lang w:val="en-US"/>
        </w:rPr>
        <w:t xml:space="preserve">,  cit.   p.  </w:t>
      </w:r>
      <w:r>
        <w:rPr>
          <w:rFonts w:ascii="Times New Roman" w:hAnsi="Times New Roman"/>
        </w:rPr>
        <w:t>291;  G. Purpura,</w:t>
      </w:r>
      <w:r>
        <w:rPr>
          <w:rFonts w:ascii="Times New Roman" w:hAnsi="Times New Roman"/>
          <w:i/>
        </w:rPr>
        <w:t xml:space="preserve">  Dalle raccolte di precedenti</w:t>
      </w:r>
      <w:r>
        <w:rPr>
          <w:rFonts w:ascii="Times New Roman" w:hAnsi="Times New Roman"/>
        </w:rPr>
        <w:t xml:space="preserve">, cit., pp.  675 - 693; U. Vincenti, </w:t>
      </w:r>
      <w:r>
        <w:rPr>
          <w:rFonts w:ascii="Times New Roman" w:hAnsi="Times New Roman"/>
          <w:i/>
        </w:rPr>
        <w:t>Il valore dei   precedenti  giudiziali  nella  compilazione  giustinianea</w:t>
      </w:r>
      <w:r>
        <w:rPr>
          <w:rFonts w:ascii="Times New Roman" w:hAnsi="Times New Roman"/>
        </w:rPr>
        <w:t xml:space="preserve">, Padova, 1992, pp. 57 - 76.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947"/>
      <w:docPartObj>
        <w:docPartGallery w:val="Page Numbers (Top of Page)"/>
        <w:docPartUnique/>
      </w:docPartObj>
    </w:sdtPr>
    <w:sdtContent>
      <w:p w:rsidR="00260454" w:rsidRDefault="00260454">
        <w:pPr>
          <w:pStyle w:val="Intestazione"/>
          <w:jc w:val="center"/>
        </w:pPr>
      </w:p>
      <w:p w:rsidR="00260454" w:rsidRDefault="00260454">
        <w:pPr>
          <w:pStyle w:val="Intestazione"/>
          <w:jc w:val="center"/>
        </w:pPr>
      </w:p>
      <w:p w:rsidR="00260454" w:rsidRDefault="00260454">
        <w:pPr>
          <w:pStyle w:val="Intestazione"/>
          <w:jc w:val="center"/>
        </w:pPr>
      </w:p>
      <w:p w:rsidR="00260454" w:rsidRDefault="00DB3866">
        <w:pPr>
          <w:pStyle w:val="Intestazione"/>
          <w:jc w:val="center"/>
        </w:pPr>
        <w:fldSimple w:instr=" PAGE   \* MERGEFORMAT ">
          <w:r w:rsidR="003432C9">
            <w:rPr>
              <w:noProof/>
            </w:rPr>
            <w:t>1</w:t>
          </w:r>
        </w:fldSimple>
      </w:p>
    </w:sdtContent>
  </w:sdt>
  <w:p w:rsidR="002E0AAC" w:rsidRDefault="002E0AA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E3C81"/>
    <w:multiLevelType w:val="hybridMultilevel"/>
    <w:tmpl w:val="A47EF438"/>
    <w:lvl w:ilvl="0" w:tplc="8D5693D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524EF0"/>
    <w:rsid w:val="000063DF"/>
    <w:rsid w:val="000068C0"/>
    <w:rsid w:val="00010A8B"/>
    <w:rsid w:val="00026FEC"/>
    <w:rsid w:val="000321A1"/>
    <w:rsid w:val="00082B4A"/>
    <w:rsid w:val="000B1716"/>
    <w:rsid w:val="000C30E3"/>
    <w:rsid w:val="001134CE"/>
    <w:rsid w:val="00126C75"/>
    <w:rsid w:val="00132893"/>
    <w:rsid w:val="00141ECD"/>
    <w:rsid w:val="00167BC1"/>
    <w:rsid w:val="00170457"/>
    <w:rsid w:val="0017752C"/>
    <w:rsid w:val="00186B9A"/>
    <w:rsid w:val="001A7C77"/>
    <w:rsid w:val="001B00CD"/>
    <w:rsid w:val="001F61C1"/>
    <w:rsid w:val="00203C12"/>
    <w:rsid w:val="00211DFD"/>
    <w:rsid w:val="00241B0B"/>
    <w:rsid w:val="00260454"/>
    <w:rsid w:val="0026094C"/>
    <w:rsid w:val="00267EFE"/>
    <w:rsid w:val="00275E33"/>
    <w:rsid w:val="0028077E"/>
    <w:rsid w:val="00281C81"/>
    <w:rsid w:val="002B2296"/>
    <w:rsid w:val="002C2A36"/>
    <w:rsid w:val="002D7910"/>
    <w:rsid w:val="002D7E1E"/>
    <w:rsid w:val="002E0AAC"/>
    <w:rsid w:val="002E77E6"/>
    <w:rsid w:val="002F31D4"/>
    <w:rsid w:val="003166B6"/>
    <w:rsid w:val="003223C3"/>
    <w:rsid w:val="0032754D"/>
    <w:rsid w:val="0033019D"/>
    <w:rsid w:val="00332174"/>
    <w:rsid w:val="003432C9"/>
    <w:rsid w:val="00361E2B"/>
    <w:rsid w:val="003625BD"/>
    <w:rsid w:val="00366691"/>
    <w:rsid w:val="00393665"/>
    <w:rsid w:val="003A64AC"/>
    <w:rsid w:val="003B7D0F"/>
    <w:rsid w:val="003D0B34"/>
    <w:rsid w:val="00414B3A"/>
    <w:rsid w:val="004205B7"/>
    <w:rsid w:val="004237C3"/>
    <w:rsid w:val="004252E0"/>
    <w:rsid w:val="00436D47"/>
    <w:rsid w:val="00437D5F"/>
    <w:rsid w:val="00444FF6"/>
    <w:rsid w:val="00450150"/>
    <w:rsid w:val="00451E05"/>
    <w:rsid w:val="00453520"/>
    <w:rsid w:val="004A2C9C"/>
    <w:rsid w:val="004B616C"/>
    <w:rsid w:val="004B6226"/>
    <w:rsid w:val="004B6D43"/>
    <w:rsid w:val="004C035A"/>
    <w:rsid w:val="004D476E"/>
    <w:rsid w:val="004D7EC0"/>
    <w:rsid w:val="004E43FD"/>
    <w:rsid w:val="004E5272"/>
    <w:rsid w:val="00524EF0"/>
    <w:rsid w:val="00530C6E"/>
    <w:rsid w:val="005332D9"/>
    <w:rsid w:val="00572B3F"/>
    <w:rsid w:val="00574442"/>
    <w:rsid w:val="00586C88"/>
    <w:rsid w:val="0059395E"/>
    <w:rsid w:val="005C3F5F"/>
    <w:rsid w:val="005E18D4"/>
    <w:rsid w:val="005E58EE"/>
    <w:rsid w:val="00604F3B"/>
    <w:rsid w:val="006112D6"/>
    <w:rsid w:val="00616413"/>
    <w:rsid w:val="00650919"/>
    <w:rsid w:val="00655E26"/>
    <w:rsid w:val="006A681B"/>
    <w:rsid w:val="006B0D33"/>
    <w:rsid w:val="006B1F1A"/>
    <w:rsid w:val="006B5800"/>
    <w:rsid w:val="006D46EC"/>
    <w:rsid w:val="00700E4E"/>
    <w:rsid w:val="00717A34"/>
    <w:rsid w:val="007212A1"/>
    <w:rsid w:val="007659D4"/>
    <w:rsid w:val="007877DB"/>
    <w:rsid w:val="007A3ED2"/>
    <w:rsid w:val="007A4895"/>
    <w:rsid w:val="007B4C32"/>
    <w:rsid w:val="007C4B64"/>
    <w:rsid w:val="007E25CA"/>
    <w:rsid w:val="007F03E0"/>
    <w:rsid w:val="007F2FE6"/>
    <w:rsid w:val="00807FFC"/>
    <w:rsid w:val="00811704"/>
    <w:rsid w:val="00817FAD"/>
    <w:rsid w:val="008517B4"/>
    <w:rsid w:val="00860309"/>
    <w:rsid w:val="00862AE4"/>
    <w:rsid w:val="0087597C"/>
    <w:rsid w:val="008858D8"/>
    <w:rsid w:val="008B02E5"/>
    <w:rsid w:val="008B111C"/>
    <w:rsid w:val="008B1C77"/>
    <w:rsid w:val="008B1DA8"/>
    <w:rsid w:val="008C17BE"/>
    <w:rsid w:val="008D5A56"/>
    <w:rsid w:val="008E42A7"/>
    <w:rsid w:val="008E7100"/>
    <w:rsid w:val="009038F5"/>
    <w:rsid w:val="00911F20"/>
    <w:rsid w:val="009209EC"/>
    <w:rsid w:val="009233FC"/>
    <w:rsid w:val="0094037A"/>
    <w:rsid w:val="0094209C"/>
    <w:rsid w:val="009629F4"/>
    <w:rsid w:val="009873A7"/>
    <w:rsid w:val="009A5379"/>
    <w:rsid w:val="009B5A5D"/>
    <w:rsid w:val="009C4CF4"/>
    <w:rsid w:val="009D5AEE"/>
    <w:rsid w:val="009D7F0C"/>
    <w:rsid w:val="00A03553"/>
    <w:rsid w:val="00A11512"/>
    <w:rsid w:val="00A12492"/>
    <w:rsid w:val="00A149D9"/>
    <w:rsid w:val="00A3291F"/>
    <w:rsid w:val="00A47132"/>
    <w:rsid w:val="00A53C82"/>
    <w:rsid w:val="00A8123A"/>
    <w:rsid w:val="00A84031"/>
    <w:rsid w:val="00AA6F3F"/>
    <w:rsid w:val="00AC1446"/>
    <w:rsid w:val="00AC4DCB"/>
    <w:rsid w:val="00AE2C5A"/>
    <w:rsid w:val="00AF1487"/>
    <w:rsid w:val="00B35B0D"/>
    <w:rsid w:val="00B53E45"/>
    <w:rsid w:val="00B66968"/>
    <w:rsid w:val="00B91AE9"/>
    <w:rsid w:val="00B938DF"/>
    <w:rsid w:val="00B96597"/>
    <w:rsid w:val="00BA0E2E"/>
    <w:rsid w:val="00BB3A19"/>
    <w:rsid w:val="00BB6DFB"/>
    <w:rsid w:val="00BC0B2A"/>
    <w:rsid w:val="00BC0FDF"/>
    <w:rsid w:val="00BD2379"/>
    <w:rsid w:val="00BD4757"/>
    <w:rsid w:val="00BE074D"/>
    <w:rsid w:val="00BE271D"/>
    <w:rsid w:val="00BE291E"/>
    <w:rsid w:val="00BE6855"/>
    <w:rsid w:val="00BE6AA0"/>
    <w:rsid w:val="00C476FF"/>
    <w:rsid w:val="00C56C74"/>
    <w:rsid w:val="00C66DBC"/>
    <w:rsid w:val="00C71EB3"/>
    <w:rsid w:val="00C84B7B"/>
    <w:rsid w:val="00CB0F3D"/>
    <w:rsid w:val="00CE555C"/>
    <w:rsid w:val="00CE7C61"/>
    <w:rsid w:val="00D07C75"/>
    <w:rsid w:val="00D21899"/>
    <w:rsid w:val="00D27B18"/>
    <w:rsid w:val="00D47EED"/>
    <w:rsid w:val="00D525A8"/>
    <w:rsid w:val="00D55786"/>
    <w:rsid w:val="00D6444E"/>
    <w:rsid w:val="00D81134"/>
    <w:rsid w:val="00D82C6F"/>
    <w:rsid w:val="00DB3866"/>
    <w:rsid w:val="00DC4D89"/>
    <w:rsid w:val="00DC67AA"/>
    <w:rsid w:val="00DD3A22"/>
    <w:rsid w:val="00E27C65"/>
    <w:rsid w:val="00E36711"/>
    <w:rsid w:val="00E94460"/>
    <w:rsid w:val="00EA24C8"/>
    <w:rsid w:val="00EA4F48"/>
    <w:rsid w:val="00F02D2E"/>
    <w:rsid w:val="00F42B25"/>
    <w:rsid w:val="00F45699"/>
    <w:rsid w:val="00F457E3"/>
    <w:rsid w:val="00F60D28"/>
    <w:rsid w:val="00F65AB5"/>
    <w:rsid w:val="00F716EA"/>
    <w:rsid w:val="00F749E8"/>
    <w:rsid w:val="00F81A56"/>
    <w:rsid w:val="00F865CC"/>
    <w:rsid w:val="00F86B9A"/>
    <w:rsid w:val="00F87CBD"/>
    <w:rsid w:val="00FA571A"/>
    <w:rsid w:val="00FA7B52"/>
    <w:rsid w:val="00FD47B3"/>
    <w:rsid w:val="00FD6644"/>
    <w:rsid w:val="00FE5FCF"/>
    <w:rsid w:val="00FF30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ind w:right="425"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713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4E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4EF0"/>
    <w:rPr>
      <w:sz w:val="22"/>
      <w:szCs w:val="22"/>
      <w:lang w:eastAsia="en-US"/>
    </w:rPr>
  </w:style>
  <w:style w:type="paragraph" w:styleId="Pidipagina">
    <w:name w:val="footer"/>
    <w:basedOn w:val="Normale"/>
    <w:link w:val="PidipaginaCarattere"/>
    <w:uiPriority w:val="99"/>
    <w:semiHidden/>
    <w:unhideWhenUsed/>
    <w:rsid w:val="00524E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4EF0"/>
    <w:rPr>
      <w:sz w:val="22"/>
      <w:szCs w:val="22"/>
      <w:lang w:eastAsia="en-US"/>
    </w:rPr>
  </w:style>
  <w:style w:type="paragraph" w:styleId="Testonormale">
    <w:name w:val="Plain Text"/>
    <w:basedOn w:val="Normale"/>
    <w:link w:val="TestonormaleCarattere"/>
    <w:semiHidden/>
    <w:rsid w:val="00817FAD"/>
    <w:pPr>
      <w:spacing w:after="0" w:line="240" w:lineRule="auto"/>
      <w:ind w:right="975"/>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semiHidden/>
    <w:rsid w:val="00817FAD"/>
    <w:rPr>
      <w:rFonts w:ascii="Courier New" w:eastAsia="Times New Roman" w:hAnsi="Courier New"/>
    </w:rPr>
  </w:style>
  <w:style w:type="character" w:styleId="Rimandonotaapidipagina">
    <w:name w:val="footnote reference"/>
    <w:basedOn w:val="Carpredefinitoparagrafo"/>
    <w:semiHidden/>
    <w:rsid w:val="00817FAD"/>
    <w:rPr>
      <w:vertAlign w:val="superscript"/>
    </w:rPr>
  </w:style>
  <w:style w:type="paragraph" w:styleId="Testonotaapidipagina">
    <w:name w:val="footnote text"/>
    <w:basedOn w:val="Normale"/>
    <w:link w:val="TestonotaapidipaginaCarattere"/>
    <w:semiHidden/>
    <w:unhideWhenUsed/>
    <w:rsid w:val="004D7E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4D7EC0"/>
    <w:rPr>
      <w:lang w:eastAsia="en-US"/>
    </w:rPr>
  </w:style>
  <w:style w:type="character" w:styleId="Enfasicorsivo">
    <w:name w:val="Emphasis"/>
    <w:basedOn w:val="Carpredefinitoparagrafo"/>
    <w:uiPriority w:val="20"/>
    <w:qFormat/>
    <w:rsid w:val="00572B3F"/>
    <w:rPr>
      <w:i/>
      <w:iCs/>
    </w:rPr>
  </w:style>
  <w:style w:type="paragraph" w:customStyle="1" w:styleId="Indirizzomittentebreve">
    <w:name w:val="Indirizzo mittente breve"/>
    <w:basedOn w:val="Normale"/>
    <w:rsid w:val="00530C6E"/>
    <w:pPr>
      <w:spacing w:after="0" w:line="240" w:lineRule="auto"/>
    </w:pPr>
    <w:rPr>
      <w:rFonts w:ascii="Times New Roman" w:eastAsia="Times New Roman" w:hAnsi="Times New Roman"/>
      <w:sz w:val="20"/>
      <w:szCs w:val="20"/>
      <w:lang w:eastAsia="it-IT"/>
    </w:rPr>
  </w:style>
  <w:style w:type="paragraph" w:styleId="Rientrocorpodeltesto">
    <w:name w:val="Body Text Indent"/>
    <w:basedOn w:val="Normale"/>
    <w:link w:val="RientrocorpodeltestoCarattere"/>
    <w:semiHidden/>
    <w:rsid w:val="00807FFC"/>
    <w:pPr>
      <w:spacing w:after="120" w:line="240" w:lineRule="auto"/>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807FFC"/>
    <w:rPr>
      <w:rFonts w:ascii="Times New Roman" w:eastAsia="Times New Roman" w:hAnsi="Times New Roman"/>
    </w:rPr>
  </w:style>
  <w:style w:type="paragraph" w:styleId="Rientronormale">
    <w:name w:val="Normal Indent"/>
    <w:basedOn w:val="Normale"/>
    <w:semiHidden/>
    <w:rsid w:val="00DC4D89"/>
    <w:pPr>
      <w:spacing w:after="0" w:line="240" w:lineRule="auto"/>
      <w:ind w:left="708"/>
    </w:pPr>
    <w:rPr>
      <w:rFonts w:ascii="Times New Roman" w:eastAsia="Times New Roman" w:hAnsi="Times New Roman"/>
      <w:sz w:val="20"/>
      <w:szCs w:val="20"/>
      <w:lang w:eastAsia="it-IT"/>
    </w:rPr>
  </w:style>
  <w:style w:type="paragraph" w:customStyle="1" w:styleId="CM2">
    <w:name w:val="CM2"/>
    <w:basedOn w:val="Normale"/>
    <w:next w:val="Normale"/>
    <w:uiPriority w:val="99"/>
    <w:rsid w:val="00586C88"/>
    <w:pPr>
      <w:widowControl w:val="0"/>
      <w:autoSpaceDE w:val="0"/>
      <w:autoSpaceDN w:val="0"/>
      <w:adjustRightInd w:val="0"/>
      <w:spacing w:after="0" w:line="258" w:lineRule="atLeast"/>
    </w:pPr>
    <w:rPr>
      <w:rFonts w:ascii="Times New Roman" w:eastAsiaTheme="minorEastAsia" w:hAnsi="Times New Roman"/>
      <w:sz w:val="24"/>
      <w:szCs w:val="24"/>
      <w:lang w:eastAsia="it-IT"/>
    </w:rPr>
  </w:style>
  <w:style w:type="character" w:customStyle="1" w:styleId="st1">
    <w:name w:val="st1"/>
    <w:basedOn w:val="Carpredefinitoparagrafo"/>
    <w:rsid w:val="0026094C"/>
  </w:style>
  <w:style w:type="paragraph" w:styleId="Paragrafoelenco">
    <w:name w:val="List Paragraph"/>
    <w:basedOn w:val="Normale"/>
    <w:uiPriority w:val="34"/>
    <w:qFormat/>
    <w:rsid w:val="00A84031"/>
    <w:pPr>
      <w:ind w:left="720"/>
      <w:contextualSpacing/>
    </w:pPr>
  </w:style>
  <w:style w:type="paragraph" w:styleId="Testofumetto">
    <w:name w:val="Balloon Text"/>
    <w:basedOn w:val="Normale"/>
    <w:link w:val="TestofumettoCarattere"/>
    <w:uiPriority w:val="99"/>
    <w:semiHidden/>
    <w:unhideWhenUsed/>
    <w:rsid w:val="002604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45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B0638-32A2-4779-B2D7-3354AE71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4537</Words>
  <Characters>25866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2</cp:revision>
  <dcterms:created xsi:type="dcterms:W3CDTF">2015-09-28T09:32:00Z</dcterms:created>
  <dcterms:modified xsi:type="dcterms:W3CDTF">2015-09-28T09:32:00Z</dcterms:modified>
</cp:coreProperties>
</file>