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20" w:rsidRDefault="00927E20"/>
    <w:p w:rsidR="00927E20" w:rsidRDefault="00927E20"/>
    <w:tbl>
      <w:tblPr>
        <w:tblW w:w="87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60"/>
      </w:tblGrid>
      <w:tr w:rsidR="00927E20" w:rsidRPr="00927E20" w:rsidTr="00927E20">
        <w:trPr>
          <w:tblCellSpacing w:w="0" w:type="dxa"/>
        </w:trPr>
        <w:tc>
          <w:tcPr>
            <w:tcW w:w="0" w:type="auto"/>
            <w:hideMark/>
          </w:tcPr>
          <w:p w:rsidR="00927E20" w:rsidRDefault="00927E20"/>
          <w:tbl>
            <w:tblPr>
              <w:tblpPr w:leftFromText="36" w:rightFromText="36" w:vertAnchor="text" w:tblpXSpec="right" w:tblpYSpec="center"/>
              <w:tblW w:w="6312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12"/>
            </w:tblGrid>
            <w:tr w:rsidR="00927E20" w:rsidRPr="00927E2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7E20" w:rsidRDefault="00927E20"/>
                <w:tbl>
                  <w:tblPr>
                    <w:tblW w:w="6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97"/>
                    <w:gridCol w:w="1203"/>
                  </w:tblGrid>
                  <w:tr w:rsidR="00927E20" w:rsidRPr="00927E20" w:rsidTr="00927E20">
                    <w:trPr>
                      <w:tblCellSpacing w:w="0" w:type="dxa"/>
                      <w:jc w:val="center"/>
                    </w:trPr>
                    <w:tc>
                      <w:tcPr>
                        <w:tcW w:w="4797" w:type="dxa"/>
                        <w:hideMark/>
                      </w:tcPr>
                      <w:p w:rsidR="00927E20" w:rsidRDefault="00927E20" w:rsidP="00927E20">
                        <w:pPr>
                          <w:spacing w:after="0" w:line="240" w:lineRule="auto"/>
                          <w:ind w:firstLine="0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27E2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it-IT"/>
                          </w:rPr>
                          <w:t xml:space="preserve">Il relitto </w:t>
                        </w:r>
                        <w:proofErr w:type="spellStart"/>
                        <w:r w:rsidRPr="00927E2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it-IT"/>
                          </w:rPr>
                          <w:t>Marzamemi</w:t>
                        </w:r>
                        <w:proofErr w:type="spellEnd"/>
                        <w:r w:rsidRPr="00927E2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it-IT"/>
                          </w:rPr>
                          <w:t xml:space="preserve"> II </w:t>
                        </w:r>
                        <w:r w:rsidRPr="00927E2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it-IT"/>
                          </w:rPr>
                          <w:br/>
                          <w:t xml:space="preserve">(o della basilica del </w:t>
                        </w:r>
                        <w:proofErr w:type="spellStart"/>
                        <w:r w:rsidRPr="00927E2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it-IT"/>
                          </w:rPr>
                          <w:t>VI</w:t>
                        </w:r>
                        <w:proofErr w:type="spellEnd"/>
                        <w:r w:rsidRPr="00927E2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it-IT"/>
                          </w:rPr>
                          <w:t xml:space="preserve"> sec. d.C.). </w:t>
                        </w:r>
                      </w:p>
                      <w:p w:rsidR="00927E20" w:rsidRDefault="00927E20" w:rsidP="00927E20">
                        <w:pPr>
                          <w:spacing w:after="0" w:line="240" w:lineRule="auto"/>
                          <w:ind w:firstLine="0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</w:p>
                      <w:p w:rsidR="00927E20" w:rsidRPr="00927E20" w:rsidRDefault="00927E20" w:rsidP="00927E20">
                        <w:pPr>
                          <w:spacing w:after="0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927E20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15"/>
                            <w:szCs w:val="15"/>
                            <w:lang w:eastAsia="it-IT"/>
                          </w:rPr>
                          <w:t xml:space="preserve">in: </w:t>
                        </w:r>
                        <w:proofErr w:type="spellStart"/>
                        <w:r w:rsidRPr="00927E20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15"/>
                            <w:szCs w:val="15"/>
                            <w:lang w:eastAsia="it-IT"/>
                          </w:rPr>
                          <w:t>Archaeogate</w:t>
                        </w:r>
                        <w:proofErr w:type="spellEnd"/>
                        <w:r w:rsidRPr="00927E20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15"/>
                            <w:szCs w:val="15"/>
                            <w:lang w:eastAsia="it-IT"/>
                          </w:rPr>
                          <w:t xml:space="preserve"> ottobre 2002</w:t>
                        </w:r>
                        <w:r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15"/>
                            <w:szCs w:val="15"/>
                            <w:lang w:eastAsia="it-IT"/>
                          </w:rPr>
                          <w:t>.</w:t>
                        </w:r>
                        <w:r w:rsidRPr="00927E2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it-IT"/>
                          </w:rPr>
                          <w:br/>
                        </w:r>
                      </w:p>
                    </w:tc>
                    <w:tc>
                      <w:tcPr>
                        <w:tcW w:w="1203" w:type="dxa"/>
                        <w:hideMark/>
                      </w:tcPr>
                      <w:p w:rsidR="00927E20" w:rsidRPr="00927E20" w:rsidRDefault="00927E20" w:rsidP="00927E20">
                        <w:pPr>
                          <w:spacing w:after="0" w:line="240" w:lineRule="auto"/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hyperlink r:id="rId4" w:history="1">
                          <w:r w:rsidRPr="00927E20">
                            <w:rPr>
                              <w:rFonts w:ascii="Verdana" w:eastAsia="Times New Roman" w:hAnsi="Verdana" w:cs="Times New Roman"/>
                              <w:color w:val="990000"/>
                              <w:sz w:val="15"/>
                              <w:szCs w:val="15"/>
                              <w:lang w:eastAsia="it-IT"/>
                            </w:rPr>
                            <w:br/>
                          </w:r>
                          <w:r w:rsidRPr="00927E20">
                            <w:rPr>
                              <w:rFonts w:ascii="Verdana" w:eastAsia="Times New Roman" w:hAnsi="Verdana" w:cs="Times New Roman"/>
                              <w:color w:val="990000"/>
                              <w:sz w:val="15"/>
                              <w:szCs w:val="15"/>
                              <w:lang w:eastAsia="it-IT"/>
                            </w:rPr>
                            <w:br/>
                          </w:r>
                        </w:hyperlink>
                      </w:p>
                    </w:tc>
                  </w:tr>
                </w:tbl>
                <w:p w:rsidR="00927E20" w:rsidRPr="00927E20" w:rsidRDefault="00927E20" w:rsidP="00927E2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312"/>
                  </w:tblGrid>
                  <w:tr w:rsidR="00927E20" w:rsidRPr="00927E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7E20" w:rsidRPr="00927E20" w:rsidRDefault="00927E20" w:rsidP="00927E20">
                        <w:pPr>
                          <w:spacing w:after="240" w:line="240" w:lineRule="auto"/>
                          <w:ind w:firstLine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 xml:space="preserve">Un importante carico navale di elementi architettonici antichi è presente in Sicilia, a </w:t>
                        </w:r>
                        <w:proofErr w:type="spellStart"/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Marzamemi</w:t>
                        </w:r>
                        <w:proofErr w:type="spellEnd"/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 xml:space="preserve"> (</w:t>
                        </w:r>
                        <w:proofErr w:type="spellStart"/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Marzamemi</w:t>
                        </w:r>
                        <w:proofErr w:type="spellEnd"/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 xml:space="preserve"> II). Esso è attribuito a parti di una basilica tardo antica (ventotto basi di colonne, ventisette capitelli corinzi e colonne monolitiche di marmo </w:t>
                        </w:r>
                        <w:proofErr w:type="spellStart"/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proconnesio</w:t>
                        </w:r>
                        <w:proofErr w:type="spellEnd"/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 xml:space="preserve">) e ad un ambone (in marmo cosiddetto “verde antico”, proveniente dalle cave greche di </w:t>
                        </w:r>
                        <w:proofErr w:type="spellStart"/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Larissa</w:t>
                        </w:r>
                        <w:proofErr w:type="spellEnd"/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 xml:space="preserve"> in Tessaglia) da erigere con ogni probabilità in Occidente intorno al </w:t>
                        </w:r>
                        <w:proofErr w:type="spellStart"/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VI</w:t>
                        </w:r>
                        <w:proofErr w:type="spellEnd"/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 xml:space="preserve"> sec. d.C., forse in occasione del vasto programma di ristrutturazione edilizia promosso dall’imperatore </w:t>
                        </w:r>
                        <w:proofErr w:type="spellStart"/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Giustinano</w:t>
                        </w:r>
                        <w:proofErr w:type="spellEnd"/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 xml:space="preserve"> e testimoniato nell’opera De </w:t>
                        </w:r>
                        <w:proofErr w:type="spellStart"/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aedificiis</w:t>
                        </w:r>
                        <w:proofErr w:type="spellEnd"/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 xml:space="preserve"> di Procopio di Cesarea </w:t>
                        </w:r>
                        <w:bookmarkStart w:id="0" w:name="11"/>
                        <w:bookmarkEnd w:id="0"/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fldChar w:fldCharType="begin"/>
                        </w:r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instrText xml:space="preserve"> HYPERLINK "file:///C:\\Users\\Purpura\\Desktop\\Archaeogate\\subacquea\\pubblic\\purpura\\59\\index.html" \l "1" </w:instrText>
                        </w:r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fldChar w:fldCharType="separate"/>
                        </w:r>
                        <w:r w:rsidRPr="00927E20">
                          <w:rPr>
                            <w:rFonts w:ascii="Verdana" w:eastAsia="Times New Roman" w:hAnsi="Verdana" w:cs="Times New Roman"/>
                            <w:color w:val="990000"/>
                            <w:sz w:val="15"/>
                            <w:lang w:eastAsia="it-IT"/>
                          </w:rPr>
                          <w:t>(1)</w:t>
                        </w:r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fldChar w:fldCharType="end"/>
                        </w:r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.</w:t>
                        </w:r>
                      </w:p>
                    </w:tc>
                  </w:tr>
                  <w:tr w:rsidR="00927E20" w:rsidRPr="00927E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7E20" w:rsidRPr="00927E20" w:rsidRDefault="00927E20" w:rsidP="00927E20">
                        <w:pPr>
                          <w:spacing w:after="0" w:line="240" w:lineRule="auto"/>
                          <w:ind w:firstLine="0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 xml:space="preserve">© Gianfranco Purpura </w:t>
                        </w:r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br/>
                          <w:t>Dipartimento Storia del Diritto</w:t>
                        </w:r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br/>
                          <w:t xml:space="preserve">Università di Palermo </w:t>
                        </w:r>
                      </w:p>
                    </w:tc>
                  </w:tr>
                  <w:tr w:rsidR="00927E20" w:rsidRPr="00927E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7E20" w:rsidRPr="00927E20" w:rsidRDefault="00927E20" w:rsidP="00927E20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</w:p>
                      <w:p w:rsidR="00927E20" w:rsidRPr="00927E20" w:rsidRDefault="00927E20" w:rsidP="00927E20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927E2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  <w:pict>
                            <v:rect id="_x0000_i1025" style="width:457.8pt;height:.6pt" o:hrpct="950" o:hralign="center" o:hrstd="t" o:hrnoshade="t" o:hr="t" fillcolor="#a0a0a0" stroked="f"/>
                          </w:pict>
                        </w:r>
                      </w:p>
                      <w:p w:rsidR="00927E20" w:rsidRPr="00927E20" w:rsidRDefault="00927E20" w:rsidP="00927E20">
                        <w:pPr>
                          <w:spacing w:after="0" w:line="240" w:lineRule="auto"/>
                          <w:ind w:firstLine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927E2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5"/>
                            <w:szCs w:val="15"/>
                            <w:lang w:eastAsia="it-IT"/>
                          </w:rPr>
                          <w:t>Note:</w:t>
                        </w:r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br/>
                        </w:r>
                        <w:bookmarkStart w:id="1" w:name="1"/>
                        <w:bookmarkEnd w:id="1"/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fldChar w:fldCharType="begin"/>
                        </w:r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instrText xml:space="preserve"> HYPERLINK "file:///C:\\Users\\Purpura\\Desktop\\Archaeogate\\subacquea\\pubblic\\purpura\\59\\index.html" \l "11" </w:instrText>
                        </w:r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fldChar w:fldCharType="separate"/>
                        </w:r>
                        <w:r w:rsidRPr="00927E20">
                          <w:rPr>
                            <w:rFonts w:ascii="Verdana" w:eastAsia="Times New Roman" w:hAnsi="Verdana" w:cs="Times New Roman"/>
                            <w:color w:val="990000"/>
                            <w:sz w:val="15"/>
                            <w:lang w:eastAsia="it-IT"/>
                          </w:rPr>
                          <w:t>(1)</w:t>
                        </w:r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fldChar w:fldCharType="end"/>
                        </w:r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Kapitän</w:t>
                        </w:r>
                        <w:proofErr w:type="spellEnd"/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 xml:space="preserve"> G., Esplorazioni su alcuni carichi di marmo e pezzi architettonici davanti alle coste della Sicilia Orientale, Atti del III </w:t>
                        </w:r>
                        <w:proofErr w:type="spellStart"/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Congr</w:t>
                        </w:r>
                        <w:proofErr w:type="spellEnd"/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 xml:space="preserve">. Di Arch. </w:t>
                        </w:r>
                        <w:proofErr w:type="spellStart"/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Sottom</w:t>
                        </w:r>
                        <w:proofErr w:type="spellEnd"/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 xml:space="preserve">. Barcellona, 1961, pp. 296 ss; Id., </w:t>
                        </w:r>
                        <w:proofErr w:type="spellStart"/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Schiffsfrachten</w:t>
                        </w:r>
                        <w:proofErr w:type="spellEnd"/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antike</w:t>
                        </w:r>
                        <w:proofErr w:type="spellEnd"/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Baugesteine</w:t>
                        </w:r>
                        <w:proofErr w:type="spellEnd"/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 xml:space="preserve"> und </w:t>
                        </w:r>
                        <w:proofErr w:type="spellStart"/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Architekturteile</w:t>
                        </w:r>
                        <w:proofErr w:type="spellEnd"/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vor</w:t>
                        </w:r>
                        <w:proofErr w:type="spellEnd"/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 xml:space="preserve"> den </w:t>
                        </w:r>
                        <w:proofErr w:type="spellStart"/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Küsten</w:t>
                        </w:r>
                        <w:proofErr w:type="spellEnd"/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 xml:space="preserve"> </w:t>
                        </w:r>
                        <w:proofErr w:type="spellStart"/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Ostsiziliens</w:t>
                        </w:r>
                        <w:proofErr w:type="spellEnd"/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 xml:space="preserve">, </w:t>
                        </w:r>
                        <w:proofErr w:type="spellStart"/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Klio</w:t>
                        </w:r>
                        <w:proofErr w:type="spellEnd"/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 xml:space="preserve">, 39, 1961, pp. 276 ss.; </w:t>
                        </w:r>
                        <w:proofErr w:type="spellStart"/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Gianfrotta</w:t>
                        </w:r>
                        <w:proofErr w:type="spellEnd"/>
                        <w:r w:rsidRPr="00927E20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 xml:space="preserve"> P., Archeologia subacquea. Storia, tecniche, scoperte e relitti, Milano, 1981, pp. 217 ss. </w:t>
                        </w:r>
                      </w:p>
                    </w:tc>
                  </w:tr>
                </w:tbl>
                <w:p w:rsidR="00927E20" w:rsidRPr="00927E20" w:rsidRDefault="00927E20" w:rsidP="00927E20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927E20" w:rsidRPr="00927E20" w:rsidRDefault="00927E20" w:rsidP="00927E20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927E20" w:rsidRPr="00927E20" w:rsidRDefault="00927E20" w:rsidP="00927E2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it-IT"/>
        </w:rPr>
      </w:pPr>
    </w:p>
    <w:tbl>
      <w:tblPr>
        <w:tblW w:w="87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80"/>
        <w:gridCol w:w="6180"/>
      </w:tblGrid>
      <w:tr w:rsidR="00927E20" w:rsidRPr="00927E20" w:rsidTr="00927E20">
        <w:trPr>
          <w:tblCellSpacing w:w="0" w:type="dxa"/>
        </w:trPr>
        <w:tc>
          <w:tcPr>
            <w:tcW w:w="2580" w:type="dxa"/>
            <w:vAlign w:val="center"/>
            <w:hideMark/>
          </w:tcPr>
          <w:p w:rsidR="00927E20" w:rsidRPr="00927E20" w:rsidRDefault="00927E20" w:rsidP="00927E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180" w:type="dxa"/>
            <w:vAlign w:val="center"/>
            <w:hideMark/>
          </w:tcPr>
          <w:p w:rsidR="00927E20" w:rsidRPr="00927E20" w:rsidRDefault="00927E20" w:rsidP="00927E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F86B9A" w:rsidRDefault="00F86B9A"/>
    <w:sectPr w:rsidR="00F86B9A" w:rsidSect="00F86B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savePreviewPicture/>
  <w:compat/>
  <w:rsids>
    <w:rsidRoot w:val="00927E20"/>
    <w:rsid w:val="003D7290"/>
    <w:rsid w:val="008E3840"/>
    <w:rsid w:val="00927E20"/>
    <w:rsid w:val="00BC0FDF"/>
    <w:rsid w:val="00F8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40" w:lineRule="exact"/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B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27E20"/>
    <w:rPr>
      <w:strike w:val="0"/>
      <w:dstrike w:val="0"/>
      <w:color w:val="990000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7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Purpura\Desktop\Archaeogate\subacquea\pubblic\purpura\59\foto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Purpura</dc:creator>
  <cp:lastModifiedBy>Purpura</cp:lastModifiedBy>
  <cp:revision>2</cp:revision>
  <dcterms:created xsi:type="dcterms:W3CDTF">2014-01-25T07:57:00Z</dcterms:created>
  <dcterms:modified xsi:type="dcterms:W3CDTF">2014-01-25T07:57:00Z</dcterms:modified>
</cp:coreProperties>
</file>