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33"/>
        <w:gridCol w:w="3267"/>
      </w:tblGrid>
      <w:tr w:rsidR="00421AD8" w:rsidRPr="00421AD8" w:rsidTr="00421AD8">
        <w:trPr>
          <w:tblCellSpacing w:w="0" w:type="dxa"/>
        </w:trPr>
        <w:tc>
          <w:tcPr>
            <w:tcW w:w="8745" w:type="dxa"/>
            <w:hideMark/>
          </w:tcPr>
          <w:tbl>
            <w:tblPr>
              <w:tblW w:w="8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0"/>
            </w:tblGrid>
            <w:tr w:rsidR="00421AD8" w:rsidRPr="00421A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1AD8" w:rsidRPr="00421AD8" w:rsidRDefault="00421AD8" w:rsidP="00421AD8">
                  <w:pPr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it-IT"/>
                    </w:rPr>
                  </w:pPr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336699"/>
                      <w:sz w:val="27"/>
                      <w:szCs w:val="27"/>
                      <w:lang w:eastAsia="it-IT"/>
                    </w:rPr>
                    <w:t xml:space="preserve">Presentazione della XIV Rassegna </w:t>
                  </w:r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336699"/>
                      <w:sz w:val="27"/>
                      <w:szCs w:val="27"/>
                      <w:lang w:eastAsia="it-IT"/>
                    </w:rPr>
                    <w:br/>
                    <w:t xml:space="preserve">di Archeologia Subacquea di Giardini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336699"/>
                      <w:sz w:val="27"/>
                      <w:szCs w:val="27"/>
                      <w:lang w:eastAsia="it-IT"/>
                    </w:rPr>
                    <w:t>Naxos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336699"/>
                      <w:sz w:val="27"/>
                      <w:szCs w:val="27"/>
                      <w:lang w:eastAsia="it-IT"/>
                    </w:rPr>
                    <w:t xml:space="preserve"> </w:t>
                  </w:r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330066"/>
                      <w:sz w:val="27"/>
                      <w:szCs w:val="27"/>
                      <w:lang w:eastAsia="it-IT"/>
                    </w:rPr>
                    <w:br/>
                  </w:r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330066"/>
                      <w:sz w:val="27"/>
                      <w:szCs w:val="27"/>
                      <w:lang w:eastAsia="it-IT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330066"/>
                      <w:sz w:val="27"/>
                      <w:szCs w:val="27"/>
                      <w:lang w:eastAsia="it-IT"/>
                    </w:rPr>
                    <w:drawing>
                      <wp:inline distT="0" distB="0" distL="0" distR="0">
                        <wp:extent cx="1903095" cy="1318260"/>
                        <wp:effectExtent l="19050" t="0" r="1905" b="0"/>
                        <wp:docPr id="1" name="Immagine 1" descr="Anfore romane del I sec. a.C.-I d.C. a Zabarbad in Mar Ros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fore romane del I sec. a.C.-I d.C. a Zabarbad in Mar Ros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330066"/>
                      <w:sz w:val="27"/>
                      <w:szCs w:val="27"/>
                      <w:lang w:eastAsia="it-IT"/>
                    </w:rPr>
                    <w:br/>
                  </w:r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it-IT"/>
                    </w:rPr>
                    <w:t xml:space="preserve">di </w:t>
                  </w:r>
                  <w:hyperlink r:id="rId5" w:history="1">
                    <w:r w:rsidRPr="00421AD8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u w:val="single"/>
                        <w:lang w:eastAsia="it-IT"/>
                      </w:rPr>
                      <w:t>Gianfranco Purpura</w:t>
                    </w:r>
                  </w:hyperlink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330066"/>
                      <w:sz w:val="27"/>
                      <w:szCs w:val="27"/>
                      <w:lang w:eastAsia="it-IT"/>
                    </w:rPr>
                    <w:br/>
                  </w:r>
                  <w:r w:rsidRPr="00421AD8">
                    <w:rPr>
                      <w:rFonts w:ascii="Arial" w:eastAsia="Times New Roman" w:hAnsi="Arial" w:cs="Arial"/>
                      <w:b/>
                      <w:bCs/>
                      <w:color w:val="330066"/>
                      <w:sz w:val="27"/>
                      <w:szCs w:val="27"/>
                      <w:lang w:eastAsia="it-IT"/>
                    </w:rPr>
                    <w:br/>
                  </w:r>
                  <w:hyperlink r:id="rId6" w:history="1">
                    <w:r w:rsidRPr="00421AD8">
                      <w:rPr>
                        <w:rFonts w:ascii="Arial" w:eastAsia="Times New Roman" w:hAnsi="Arial" w:cs="Arial"/>
                        <w:b/>
                        <w:bCs/>
                        <w:color w:val="336699"/>
                        <w:sz w:val="27"/>
                        <w:u w:val="single"/>
                        <w:lang w:eastAsia="it-IT"/>
                      </w:rPr>
                      <w:t>(clicca qui per il programma)</w:t>
                    </w:r>
                  </w:hyperlink>
                </w:p>
              </w:tc>
            </w:tr>
            <w:tr w:rsidR="00421AD8" w:rsidRPr="00421AD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21AD8" w:rsidRPr="00421AD8" w:rsidRDefault="00421AD8" w:rsidP="00421AD8">
                  <w:pPr>
                    <w:spacing w:before="0" w:beforeAutospacing="0" w:after="0" w:afterAutospacing="0"/>
                    <w:jc w:val="left"/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</w:pP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br/>
                    <w:t>La Rassegna di quest’anno è in realtà il XV incontro di Archeologia subacquea che si tiene a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352550" cy="1428750"/>
                        <wp:effectExtent l="19050" t="0" r="0" b="0"/>
                        <wp:wrapSquare wrapText="bothSides"/>
                        <wp:docPr id="5" name="Immagine 2" descr="Il papiro di Vienna (P. Vindob.G. 40822) relativo  ad un prestito marittimo per un viaggio in India nel II sec. d.C.       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l papiro di Vienna (P. Vindob.G. 40822) relativo  ad un prestito marittimo per un viaggio in India nel II sec. d.C.       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 Giardini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Naxos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, poiché l’anno scorso è stata temporaneamente data alla Rassegna una denominazione diversa, adesso abbandonata. Per un anno poi, il 1998, la Rassegna è stata sospesa. Sono stati pubblicati gli Atti solo per quattro edizioni (dalla terza alla sesta del 1991). </w:t>
                  </w: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br/>
                  </w: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br/>
                    <w:t xml:space="preserve">La formula ben presto adottata dal Comitato scientifico ha previsto la scelta di un tema specifico - da mutare di anno in anno (“Navigazione e culti”, “I porti”, “Vita quotidiana” e così via) - ed una rassegna dei più recenti ricerche. In tal modo si è cercato di conciliare l’esigenza di dar conto dei rinvenimenti più interessanti con l’opportunità di selezionare di anno in anno alcune problematiche che offrono prospettive di maggiore sviluppo per l’Archeologia subacquea. </w:t>
                  </w: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br/>
                  </w: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95375" cy="1609725"/>
                        <wp:effectExtent l="19050" t="0" r="9525" b="0"/>
                        <wp:wrapSquare wrapText="bothSides"/>
                        <wp:docPr id="3" name="Immagine 3" descr="Statuetta di divinità indiana trovata a Pomp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atuetta di divinità indiana trovata a Pomp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Quest’anno è stato scelto il tema: “Il Mediterraneo e l’Oriente”, che coinvolge anche l’affascinante problema dei rapporti tra l’Impero romano e l’Estremo Oriente, l’India in particolare, tema che consentirà di illustrare alcune nuove testimonianze relative alla presenza di anfore romane in India (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Arikamedu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), al commercio del corallo rosso, ad un relitto romano del I sec a.C. a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Zabargad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 in Mar Rosso, ad un papiro di Vienna (P.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Vindob.G.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 40822) per un prestito marittimo, che ha attraversato nel II sec. d.C. l’Oceano Indiano e nel quale appare registrata la corresponsione dei dazi doganali ed il nome della nave: “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Ermapollo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”. A traffici di merci esotiche erano interessate famiglie, come quelle degli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Annii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, dei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Numidii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, dei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Peticii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, che hanno lasciato testimonianze anche in suolo italico. </w:t>
                  </w: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br/>
                  </w: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it-IT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390650"/>
                        <wp:effectExtent l="19050" t="0" r="0" b="0"/>
                        <wp:wrapSquare wrapText="bothSides"/>
                        <wp:docPr id="4" name="Immagine 4" descr="Bassorilievo dei Peticii nel museo dell' Aqui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assorilievo dei Peticii nel museo dell' Aqui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Nell’ambito della rassegna delle nuove ricerche e rinvenimenti saranno in particolare illustrate le novità di Gela,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Camarina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, Siracusa, ma anche quelle relative a navi romane militari sul Reno ed a ricerche in Catalogna. La situazione di Cefalù con la scoperta di un forziere di rame e le vicende di un relitto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postmedievale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 xml:space="preserve"> ad Alghero concluderanno le giornate di </w:t>
                  </w:r>
                  <w:proofErr w:type="spellStart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Naxos</w:t>
                  </w:r>
                  <w:proofErr w:type="spellEnd"/>
                  <w:r w:rsidRPr="00421AD8">
                    <w:rPr>
                      <w:rFonts w:ascii="Arial" w:eastAsia="Times New Roman" w:hAnsi="Arial" w:cs="Arial"/>
                      <w:color w:val="000000"/>
                      <w:lang w:eastAsia="it-IT"/>
                    </w:rPr>
                    <w:t>, che ci si augura possano risultare ricche di nuovi dati e di stimolanti.</w:t>
                  </w:r>
                </w:p>
              </w:tc>
            </w:tr>
          </w:tbl>
          <w:p w:rsidR="00421AD8" w:rsidRPr="00421AD8" w:rsidRDefault="00421AD8" w:rsidP="00421A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vAlign w:val="center"/>
            <w:hideMark/>
          </w:tcPr>
          <w:p w:rsidR="00421AD8" w:rsidRPr="00421AD8" w:rsidRDefault="00421AD8" w:rsidP="00421AD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21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421AD8" w:rsidRPr="00421AD8" w:rsidTr="00421AD8">
        <w:trPr>
          <w:tblCellSpacing w:w="0" w:type="dxa"/>
        </w:trPr>
        <w:tc>
          <w:tcPr>
            <w:tcW w:w="2625" w:type="dxa"/>
            <w:vAlign w:val="center"/>
            <w:hideMark/>
          </w:tcPr>
          <w:p w:rsidR="00421AD8" w:rsidRPr="00421AD8" w:rsidRDefault="00421AD8" w:rsidP="00421AD8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45" w:type="dxa"/>
            <w:vAlign w:val="center"/>
            <w:hideMark/>
          </w:tcPr>
          <w:p w:rsidR="00421AD8" w:rsidRPr="00421AD8" w:rsidRDefault="00421AD8" w:rsidP="00421AD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5507EC" w:rsidRDefault="005507EC"/>
    <w:sectPr w:rsidR="005507EC" w:rsidSect="005507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dobeGaramon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421AD8"/>
    <w:rsid w:val="00421AD8"/>
    <w:rsid w:val="005507EC"/>
    <w:rsid w:val="006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7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1AD8"/>
    <w:rPr>
      <w:color w:val="3559AC"/>
      <w:u w:val="single"/>
    </w:rPr>
  </w:style>
  <w:style w:type="character" w:customStyle="1" w:styleId="testi21">
    <w:name w:val="testi21"/>
    <w:basedOn w:val="Carpredefinitoparagrafo"/>
    <w:rsid w:val="00421AD8"/>
    <w:rPr>
      <w:rFonts w:ascii="Arial" w:hAnsi="Arial" w:cs="Arial" w:hint="default"/>
      <w:sz w:val="22"/>
      <w:szCs w:val="22"/>
    </w:rPr>
  </w:style>
  <w:style w:type="character" w:customStyle="1" w:styleId="mini">
    <w:name w:val="mini"/>
    <w:basedOn w:val="Carpredefinitoparagrafo"/>
    <w:rsid w:val="00421A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A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archaeogate2001\subacquea\manif\naxos\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archaeogate2001\iice\schede\purpura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Purpura</dc:creator>
  <cp:lastModifiedBy>Purpura</cp:lastModifiedBy>
  <cp:revision>1</cp:revision>
  <dcterms:created xsi:type="dcterms:W3CDTF">2014-01-21T12:03:00Z</dcterms:created>
  <dcterms:modified xsi:type="dcterms:W3CDTF">2014-01-21T12:04:00Z</dcterms:modified>
</cp:coreProperties>
</file>