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61" w:rsidRDefault="00B07E61" w:rsidP="00B07E61">
      <w:pPr>
        <w:spacing w:before="100" w:beforeAutospacing="1" w:after="100" w:afterAutospacing="1" w:line="240" w:lineRule="auto"/>
        <w:jc w:val="left"/>
        <w:rPr>
          <w:rFonts w:ascii="Sylfaen" w:eastAsia="Times New Roman" w:hAnsi="Sylfaen" w:cs="Times New Roman"/>
          <w:sz w:val="24"/>
          <w:szCs w:val="24"/>
          <w:lang w:eastAsia="it-IT"/>
        </w:rPr>
      </w:pPr>
    </w:p>
    <w:p w:rsidR="00B07E61" w:rsidRPr="00B07E61" w:rsidRDefault="00B07E61" w:rsidP="00B51792">
      <w:pPr>
        <w:spacing w:before="100" w:beforeAutospacing="1" w:after="100" w:afterAutospacing="1" w:line="240" w:lineRule="auto"/>
        <w:ind w:left="720" w:firstLine="0"/>
        <w:jc w:val="left"/>
        <w:rPr>
          <w:rFonts w:ascii="Times New Roman" w:eastAsia="Times New Roman" w:hAnsi="Times New Roman" w:cs="Times New Roman"/>
          <w:sz w:val="24"/>
          <w:szCs w:val="24"/>
          <w:lang w:eastAsia="it-IT"/>
        </w:rPr>
      </w:pPr>
      <w:r w:rsidRPr="00B07E61">
        <w:rPr>
          <w:rFonts w:ascii="Sylfaen" w:eastAsia="Times New Roman" w:hAnsi="Sylfaen" w:cs="Times New Roman"/>
          <w:color w:val="000080"/>
          <w:sz w:val="24"/>
          <w:szCs w:val="24"/>
          <w:lang w:eastAsia="it-IT"/>
        </w:rPr>
        <w:t>"Un'ipotesi sull'origine della duplice scritturazione dei documenti greco-romani"</w:t>
      </w:r>
      <w:r w:rsidRPr="00B07E61">
        <w:rPr>
          <w:rFonts w:ascii="Verdana" w:eastAsia="Times New Roman" w:hAnsi="Verdana" w:cs="Times New Roman"/>
          <w:b/>
          <w:bCs/>
          <w:color w:val="000000"/>
          <w:sz w:val="15"/>
          <w:lang w:eastAsia="it-IT"/>
        </w:rPr>
        <w:t xml:space="preserve"> </w:t>
      </w:r>
    </w:p>
    <w:tbl>
      <w:tblPr>
        <w:tblW w:w="9638" w:type="dxa"/>
        <w:tblCellSpacing w:w="0" w:type="dxa"/>
        <w:tblCellMar>
          <w:left w:w="0" w:type="dxa"/>
          <w:right w:w="0" w:type="dxa"/>
        </w:tblCellMar>
        <w:tblLook w:val="04A0"/>
      </w:tblPr>
      <w:tblGrid>
        <w:gridCol w:w="1110"/>
        <w:gridCol w:w="3863"/>
        <w:gridCol w:w="4654"/>
        <w:gridCol w:w="11"/>
      </w:tblGrid>
      <w:tr w:rsidR="00B07E61" w:rsidRPr="00B07E61" w:rsidTr="00B51792">
        <w:trPr>
          <w:tblCellSpacing w:w="0" w:type="dxa"/>
        </w:trPr>
        <w:tc>
          <w:tcPr>
            <w:tcW w:w="1110" w:type="dxa"/>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3pt;height:.75pt"/>
              </w:pict>
            </w:r>
          </w:p>
        </w:tc>
        <w:tc>
          <w:tcPr>
            <w:tcW w:w="3863" w:type="dxa"/>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27" type="#_x0000_t75" alt="" style="width:219.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28" type="#_x0000_t75" alt="" style="width:264.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29" type="#_x0000_t75" alt="" style="width:.75pt;height:.75pt"/>
              </w:pict>
            </w:r>
          </w:p>
        </w:tc>
      </w:tr>
      <w:tr w:rsidR="00B07E61" w:rsidRPr="00B07E61" w:rsidTr="00B51792">
        <w:trPr>
          <w:tblCellSpacing w:w="0" w:type="dxa"/>
        </w:trPr>
        <w:tc>
          <w:tcPr>
            <w:tcW w:w="1110" w:type="dxa"/>
            <w:vMerge w:val="restart"/>
            <w:vAlign w:val="center"/>
            <w:hideMark/>
          </w:tcPr>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p>
        </w:tc>
        <w:tc>
          <w:tcPr>
            <w:tcW w:w="3863" w:type="dxa"/>
            <w:vAlign w:val="center"/>
            <w:hideMark/>
          </w:tcPr>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p>
        </w:tc>
        <w:tc>
          <w:tcPr>
            <w:tcW w:w="0" w:type="auto"/>
            <w:vAlign w:val="center"/>
            <w:hideMark/>
          </w:tcPr>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30" type="#_x0000_t75" alt="" style="width:.75pt;height:51pt"/>
              </w:pict>
            </w:r>
          </w:p>
        </w:tc>
      </w:tr>
      <w:tr w:rsidR="00B07E61" w:rsidRPr="00B07E61" w:rsidTr="00B51792">
        <w:trPr>
          <w:tblCellSpacing w:w="0" w:type="dxa"/>
        </w:trPr>
        <w:tc>
          <w:tcPr>
            <w:tcW w:w="1110" w:type="dxa"/>
            <w:vMerge/>
            <w:vAlign w:val="center"/>
            <w:hideMark/>
          </w:tcPr>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p>
        </w:tc>
        <w:tc>
          <w:tcPr>
            <w:tcW w:w="8517" w:type="dxa"/>
            <w:gridSpan w:val="2"/>
            <w:vAlign w:val="center"/>
            <w:hideMark/>
          </w:tcPr>
          <w:p w:rsidR="00B07E61" w:rsidRPr="00B07E61" w:rsidRDefault="00B07E61" w:rsidP="00B51792">
            <w:pPr>
              <w:spacing w:after="0" w:line="240" w:lineRule="auto"/>
              <w:ind w:firstLine="0"/>
              <w:rPr>
                <w:rFonts w:ascii="Times New Roman" w:eastAsia="Times New Roman" w:hAnsi="Times New Roman" w:cs="Times New Roman"/>
                <w:sz w:val="24"/>
                <w:szCs w:val="24"/>
                <w:lang w:eastAsia="it-IT"/>
              </w:rPr>
            </w:pP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31" type="#_x0000_t75" alt="" style="width:.75pt;height:18pt"/>
              </w:pict>
            </w:r>
          </w:p>
        </w:tc>
      </w:tr>
    </w:tbl>
    <w:p w:rsidR="00B07E61" w:rsidRPr="00B07E61" w:rsidRDefault="00B07E61" w:rsidP="00B07E61">
      <w:pPr>
        <w:spacing w:after="0" w:line="240" w:lineRule="auto"/>
        <w:ind w:firstLine="0"/>
        <w:jc w:val="left"/>
        <w:rPr>
          <w:rFonts w:ascii="Times New Roman" w:eastAsia="Times New Roman" w:hAnsi="Times New Roman" w:cs="Times New Roman"/>
          <w:vanish/>
          <w:sz w:val="24"/>
          <w:szCs w:val="24"/>
          <w:lang w:eastAsia="it-IT"/>
        </w:rPr>
      </w:pPr>
    </w:p>
    <w:tbl>
      <w:tblPr>
        <w:tblW w:w="8760" w:type="dxa"/>
        <w:tblCellSpacing w:w="0" w:type="dxa"/>
        <w:tblCellMar>
          <w:left w:w="0" w:type="dxa"/>
          <w:right w:w="0" w:type="dxa"/>
        </w:tblCellMar>
        <w:tblLook w:val="04A0"/>
      </w:tblPr>
      <w:tblGrid>
        <w:gridCol w:w="738"/>
        <w:gridCol w:w="12"/>
        <w:gridCol w:w="1160"/>
        <w:gridCol w:w="12"/>
        <w:gridCol w:w="1167"/>
        <w:gridCol w:w="11"/>
        <w:gridCol w:w="1538"/>
        <w:gridCol w:w="11"/>
        <w:gridCol w:w="515"/>
        <w:gridCol w:w="11"/>
        <w:gridCol w:w="1380"/>
        <w:gridCol w:w="11"/>
        <w:gridCol w:w="1357"/>
        <w:gridCol w:w="11"/>
        <w:gridCol w:w="1641"/>
        <w:gridCol w:w="11"/>
        <w:gridCol w:w="52"/>
      </w:tblGrid>
      <w:tr w:rsidR="00B07E61" w:rsidRPr="00B07E61" w:rsidTr="00B07E61">
        <w:trPr>
          <w:tblCellSpacing w:w="0" w:type="dxa"/>
        </w:trPr>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32" type="#_x0000_t75" alt="" style="width:42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33" type="#_x0000_t75" alt="" style="width:.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34" type="#_x0000_t75" alt="" style="width:66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35" type="#_x0000_t75" alt="" style="width:.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36" type="#_x0000_t75" alt="" style="width:66.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37" type="#_x0000_t75" alt="" style="width:.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38" type="#_x0000_t75" alt="" style="width:87.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39" type="#_x0000_t75" alt="" style="width:.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40" type="#_x0000_t75" alt="" style="width:29.2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41" type="#_x0000_t75" alt="" style="width:.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42" type="#_x0000_t75" alt="" style="width:78.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43" type="#_x0000_t75" alt="" style="width:.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44" type="#_x0000_t75" alt="" style="width:77.2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45" type="#_x0000_t75" alt="" style="width:.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46" type="#_x0000_t75" alt="" style="width:93.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47" type="#_x0000_t75" alt="" style="width:.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48" type="#_x0000_t75" alt="" style="width:.75pt;height:.75pt"/>
              </w:pict>
            </w:r>
          </w:p>
        </w:tc>
      </w:tr>
      <w:tr w:rsidR="00B07E61" w:rsidRPr="00B07E61" w:rsidTr="00B07E61">
        <w:trPr>
          <w:tblCellSpacing w:w="0" w:type="dxa"/>
        </w:trPr>
        <w:tc>
          <w:tcPr>
            <w:tcW w:w="0" w:type="auto"/>
            <w:gridSpan w:val="16"/>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49" type="#_x0000_t75" alt="" style="width:547.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50" type="#_x0000_t75" alt="" style="width:.75pt;height:.75pt"/>
              </w:pict>
            </w:r>
          </w:p>
        </w:tc>
      </w:tr>
      <w:tr w:rsidR="00B07E61" w:rsidRPr="00B07E61" w:rsidTr="00B07E61">
        <w:trPr>
          <w:tblCellSpacing w:w="0" w:type="dxa"/>
        </w:trPr>
        <w:tc>
          <w:tcPr>
            <w:tcW w:w="0" w:type="auto"/>
            <w:vAlign w:val="center"/>
            <w:hideMark/>
          </w:tcPr>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51" type="#_x0000_t75" alt="" style="width:.75pt;height:13.5pt"/>
              </w:pict>
            </w:r>
          </w:p>
        </w:tc>
        <w:tc>
          <w:tcPr>
            <w:tcW w:w="0" w:type="auto"/>
            <w:vAlign w:val="center"/>
            <w:hideMark/>
          </w:tcPr>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52" type="#_x0000_t75" alt="" style="width:.75pt;height:13.5pt"/>
              </w:pict>
            </w:r>
          </w:p>
        </w:tc>
        <w:tc>
          <w:tcPr>
            <w:tcW w:w="0" w:type="auto"/>
            <w:vAlign w:val="center"/>
            <w:hideMark/>
          </w:tcPr>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53" type="#_x0000_t75" alt="" style="width:.75pt;height:13.5pt"/>
              </w:pict>
            </w:r>
          </w:p>
        </w:tc>
        <w:tc>
          <w:tcPr>
            <w:tcW w:w="0" w:type="auto"/>
            <w:vAlign w:val="center"/>
            <w:hideMark/>
          </w:tcPr>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54" type="#_x0000_t75" alt="" style="width:.75pt;height:13.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hyperlink r:id="rId5" w:history="1">
              <w:r w:rsidRPr="00D44C83">
                <w:rPr>
                  <w:rFonts w:ascii="Times New Roman" w:eastAsia="Times New Roman" w:hAnsi="Times New Roman" w:cs="Times New Roman"/>
                  <w:color w:val="0000FF"/>
                  <w:sz w:val="24"/>
                  <w:szCs w:val="24"/>
                  <w:lang w:eastAsia="it-IT"/>
                </w:rPr>
                <w:pict>
                  <v:shape id="_x0000_i1055" type="#_x0000_t75" alt="IURA" href="E:\iura\index.html" style="width:29.25pt;height:13.5pt" o:button="t"/>
                </w:pict>
              </w:r>
            </w:hyperlink>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56" type="#_x0000_t75" alt="" style="width:.75pt;height:13.5pt"/>
              </w:pict>
            </w:r>
          </w:p>
        </w:tc>
        <w:tc>
          <w:tcPr>
            <w:tcW w:w="0" w:type="auto"/>
            <w:vAlign w:val="center"/>
            <w:hideMark/>
          </w:tcPr>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57" type="#_x0000_t75" alt="" style="width:.75pt;height:13.5pt"/>
              </w:pict>
            </w:r>
          </w:p>
        </w:tc>
        <w:tc>
          <w:tcPr>
            <w:tcW w:w="0" w:type="auto"/>
            <w:vAlign w:val="center"/>
            <w:hideMark/>
          </w:tcPr>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58" type="#_x0000_t75" alt="" style="width:.75pt;height:13.5pt"/>
              </w:pict>
            </w:r>
          </w:p>
        </w:tc>
        <w:tc>
          <w:tcPr>
            <w:tcW w:w="0" w:type="auto"/>
            <w:vAlign w:val="center"/>
            <w:hideMark/>
          </w:tcPr>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59" type="#_x0000_t75" alt="" style="width:.75pt;height:13.5pt"/>
              </w:pict>
            </w:r>
          </w:p>
        </w:tc>
        <w:tc>
          <w:tcPr>
            <w:tcW w:w="0" w:type="auto"/>
            <w:vAlign w:val="center"/>
            <w:hideMark/>
          </w:tcPr>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r w:rsidRPr="00B07E61">
              <w:rPr>
                <w:rFonts w:ascii="Times New Roman" w:eastAsia="Times New Roman" w:hAnsi="Times New Roman" w:cs="Times New Roman"/>
                <w:sz w:val="24"/>
                <w:szCs w:val="24"/>
                <w:lang w:eastAsia="it-IT"/>
              </w:rPr>
              <w:t> </w:t>
            </w:r>
          </w:p>
        </w:tc>
      </w:tr>
    </w:tbl>
    <w:p w:rsidR="00B07E61" w:rsidRPr="00B07E61" w:rsidRDefault="00B07E61" w:rsidP="00B07E61">
      <w:pPr>
        <w:spacing w:after="0" w:line="240" w:lineRule="auto"/>
        <w:ind w:firstLine="0"/>
        <w:jc w:val="left"/>
        <w:rPr>
          <w:rFonts w:ascii="Times New Roman" w:eastAsia="Times New Roman" w:hAnsi="Times New Roman" w:cs="Times New Roman"/>
          <w:vanish/>
          <w:sz w:val="24"/>
          <w:szCs w:val="24"/>
          <w:lang w:eastAsia="it-IT"/>
        </w:rPr>
      </w:pPr>
    </w:p>
    <w:tbl>
      <w:tblPr>
        <w:tblW w:w="8760" w:type="dxa"/>
        <w:tblCellSpacing w:w="0" w:type="dxa"/>
        <w:tblCellMar>
          <w:left w:w="0" w:type="dxa"/>
          <w:right w:w="0" w:type="dxa"/>
        </w:tblCellMar>
        <w:tblLook w:val="04A0"/>
      </w:tblPr>
      <w:tblGrid>
        <w:gridCol w:w="2882"/>
        <w:gridCol w:w="6522"/>
      </w:tblGrid>
      <w:tr w:rsidR="00B07E61" w:rsidRPr="00B51792" w:rsidTr="00B07E61">
        <w:trPr>
          <w:tblCellSpacing w:w="0" w:type="dxa"/>
        </w:trPr>
        <w:tc>
          <w:tcPr>
            <w:tcW w:w="2292" w:type="dxa"/>
            <w:hideMark/>
          </w:tcPr>
          <w:tbl>
            <w:tblPr>
              <w:tblW w:w="2292" w:type="dxa"/>
              <w:tblCellSpacing w:w="0" w:type="dxa"/>
              <w:tblCellMar>
                <w:left w:w="0" w:type="dxa"/>
                <w:right w:w="0" w:type="dxa"/>
              </w:tblCellMar>
              <w:tblLook w:val="04A0"/>
            </w:tblPr>
            <w:tblGrid>
              <w:gridCol w:w="2869"/>
              <w:gridCol w:w="13"/>
            </w:tblGrid>
            <w:tr w:rsidR="00B07E61" w:rsidRPr="00B07E61">
              <w:trPr>
                <w:tblCellSpacing w:w="0" w:type="dxa"/>
              </w:trPr>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60" type="#_x0000_t75" alt="" style="width:143.25pt;height:.7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61" type="#_x0000_t75" alt="" style="width:.75pt;height:.75pt"/>
                    </w:pict>
                  </w:r>
                </w:p>
              </w:tc>
            </w:tr>
            <w:tr w:rsidR="00B07E61" w:rsidRPr="00B07E61">
              <w:trPr>
                <w:tblCellSpacing w:w="0" w:type="dxa"/>
              </w:trPr>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hyperlink r:id="rId6" w:history="1">
                    <w:r w:rsidRPr="00D44C83">
                      <w:rPr>
                        <w:rFonts w:ascii="Times New Roman" w:eastAsia="Times New Roman" w:hAnsi="Times New Roman" w:cs="Times New Roman"/>
                        <w:color w:val="0000FF"/>
                        <w:sz w:val="24"/>
                        <w:szCs w:val="24"/>
                        <w:lang w:eastAsia="it-IT"/>
                      </w:rPr>
                      <w:pict>
                        <v:shape id="_x0000_i1062" type="#_x0000_t75" alt="" href="E:\iura\index.html" style="width:143.25pt;height:13.5pt" o:button="t"/>
                      </w:pict>
                    </w:r>
                  </w:hyperlink>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63" type="#_x0000_t75" alt="" style="width:.75pt;height:13.5pt"/>
                    </w:pict>
                  </w:r>
                </w:p>
              </w:tc>
            </w:tr>
            <w:tr w:rsidR="00B07E61" w:rsidRPr="00B07E61">
              <w:trPr>
                <w:tblCellSpacing w:w="0" w:type="dxa"/>
              </w:trPr>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hyperlink r:id="rId7" w:history="1">
                    <w:r w:rsidRPr="00D44C83">
                      <w:rPr>
                        <w:rFonts w:ascii="Times New Roman" w:eastAsia="Times New Roman" w:hAnsi="Times New Roman" w:cs="Times New Roman"/>
                        <w:color w:val="0000FF"/>
                        <w:sz w:val="24"/>
                        <w:szCs w:val="24"/>
                        <w:lang w:eastAsia="it-IT"/>
                      </w:rPr>
                      <w:pict>
                        <v:shape id="_x0000_i1064" type="#_x0000_t75" alt="" href="E:\iura\d_cuneiformi\index.html" style="width:143.25pt;height:12.75pt" o:button="t"/>
                      </w:pict>
                    </w:r>
                  </w:hyperlink>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65" type="#_x0000_t75" alt="" style="width:.75pt;height:12.75pt"/>
                    </w:pict>
                  </w:r>
                </w:p>
              </w:tc>
            </w:tr>
            <w:tr w:rsidR="00B07E61" w:rsidRPr="00B07E61">
              <w:trPr>
                <w:tblCellSpacing w:w="0" w:type="dxa"/>
              </w:trPr>
              <w:tc>
                <w:tcPr>
                  <w:tcW w:w="0" w:type="auto"/>
                  <w:vAlign w:val="center"/>
                  <w:hideMark/>
                </w:tcPr>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66" type="#_x0000_t75" alt="" style="width:.75pt;height:13.5pt"/>
                    </w:pict>
                  </w:r>
                </w:p>
              </w:tc>
            </w:tr>
            <w:tr w:rsidR="00B07E61" w:rsidRPr="00B07E61">
              <w:trPr>
                <w:tblCellSpacing w:w="0" w:type="dxa"/>
              </w:trPr>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hyperlink r:id="rId8" w:history="1">
                    <w:r w:rsidRPr="00D44C83">
                      <w:rPr>
                        <w:rFonts w:ascii="Times New Roman" w:eastAsia="Times New Roman" w:hAnsi="Times New Roman" w:cs="Times New Roman"/>
                        <w:color w:val="0000FF"/>
                        <w:sz w:val="24"/>
                        <w:szCs w:val="24"/>
                        <w:lang w:eastAsia="it-IT"/>
                      </w:rPr>
                      <w:pict>
                        <v:shape id="_x0000_i1067" type="#_x0000_t75" alt="" href="E:\iura\d_cuneiformi\MANIF\index.html" style="width:143.25pt;height:14.25pt" o:button="t"/>
                      </w:pict>
                    </w:r>
                  </w:hyperlink>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68" type="#_x0000_t75" alt="" style="width:.75pt;height:14.25pt"/>
                    </w:pict>
                  </w:r>
                </w:p>
              </w:tc>
            </w:tr>
            <w:tr w:rsidR="00B07E61" w:rsidRPr="00B07E61">
              <w:trPr>
                <w:tblCellSpacing w:w="0" w:type="dxa"/>
              </w:trPr>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hyperlink r:id="rId9" w:history="1">
                    <w:r w:rsidRPr="00D44C83">
                      <w:rPr>
                        <w:rFonts w:ascii="Times New Roman" w:eastAsia="Times New Roman" w:hAnsi="Times New Roman" w:cs="Times New Roman"/>
                        <w:color w:val="0000FF"/>
                        <w:sz w:val="24"/>
                        <w:szCs w:val="24"/>
                        <w:lang w:eastAsia="it-IT"/>
                      </w:rPr>
                      <w:pict>
                        <v:shape id="_x0000_i1069" type="#_x0000_t75" alt="" href="E:\iura\d_cuneiformi\LINKS\index.html" style="width:143.25pt;height:13.5pt" o:button="t"/>
                      </w:pict>
                    </w:r>
                  </w:hyperlink>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70" type="#_x0000_t75" alt="" style="width:.75pt;height:13.5pt"/>
                    </w:pict>
                  </w:r>
                </w:p>
              </w:tc>
            </w:tr>
            <w:tr w:rsidR="00B07E61" w:rsidRPr="00B07E61">
              <w:trPr>
                <w:tblCellSpacing w:w="0" w:type="dxa"/>
              </w:trPr>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hyperlink r:id="rId10" w:history="1">
                    <w:r w:rsidRPr="00D44C83">
                      <w:rPr>
                        <w:rFonts w:ascii="Times New Roman" w:eastAsia="Times New Roman" w:hAnsi="Times New Roman" w:cs="Times New Roman"/>
                        <w:color w:val="0000FF"/>
                        <w:sz w:val="24"/>
                        <w:szCs w:val="24"/>
                        <w:lang w:eastAsia="it-IT"/>
                      </w:rPr>
                      <w:pict>
                        <v:shape id="_x0000_i1071" type="#_x0000_t75" alt="" href="E:\iura\contatto\index.html" style="width:143.25pt;height:15pt" o:button="t"/>
                      </w:pict>
                    </w:r>
                  </w:hyperlink>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72" type="#_x0000_t75" alt="" style="width:.75pt;height:15pt"/>
                    </w:pict>
                  </w:r>
                </w:p>
              </w:tc>
            </w:tr>
            <w:tr w:rsidR="00B07E61" w:rsidRPr="00B07E61">
              <w:trPr>
                <w:tblCellSpacing w:w="0" w:type="dxa"/>
              </w:trPr>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73" type="#_x0000_t75" alt="" style="width:143.25pt;height:4.5pt"/>
                    </w:pict>
                  </w:r>
                </w:p>
              </w:tc>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74" type="#_x0000_t75" alt="" style="width:.75pt;height:4.5pt"/>
                    </w:pict>
                  </w:r>
                </w:p>
              </w:tc>
            </w:tr>
          </w:tbl>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eastAsia="it-IT"/>
              </w:rPr>
            </w:pPr>
          </w:p>
        </w:tc>
        <w:tc>
          <w:tcPr>
            <w:tcW w:w="0" w:type="auto"/>
            <w:hideMark/>
          </w:tcPr>
          <w:tbl>
            <w:tblPr>
              <w:tblpPr w:leftFromText="36" w:rightFromText="36" w:vertAnchor="text" w:tblpXSpec="right" w:tblpYSpec="center"/>
              <w:tblW w:w="6312" w:type="dxa"/>
              <w:tblCellSpacing w:w="0" w:type="dxa"/>
              <w:tblCellMar>
                <w:left w:w="0" w:type="dxa"/>
                <w:right w:w="0" w:type="dxa"/>
              </w:tblCellMar>
              <w:tblLook w:val="04A0"/>
            </w:tblPr>
            <w:tblGrid>
              <w:gridCol w:w="6522"/>
            </w:tblGrid>
            <w:tr w:rsidR="00B07E61" w:rsidRPr="00B07E61">
              <w:trPr>
                <w:tblCellSpacing w:w="0" w:type="dxa"/>
              </w:trPr>
              <w:tc>
                <w:tcPr>
                  <w:tcW w:w="0" w:type="auto"/>
                  <w:vAlign w:val="center"/>
                  <w:hideMark/>
                </w:tcPr>
                <w:p w:rsidR="00B07E61" w:rsidRPr="00B07E61" w:rsidRDefault="00D44C83" w:rsidP="00B07E61">
                  <w:pPr>
                    <w:spacing w:after="0" w:line="240" w:lineRule="auto"/>
                    <w:ind w:firstLine="0"/>
                    <w:jc w:val="left"/>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pict>
                      <v:shape id="_x0000_i1075" type="#_x0000_t75" alt="" style="width:.75pt;height:9pt"/>
                    </w:pict>
                  </w:r>
                  <w:r w:rsidR="00B07E61" w:rsidRPr="00B07E61">
                    <w:rPr>
                      <w:rFonts w:ascii="Verdana" w:eastAsia="Times New Roman" w:hAnsi="Verdana" w:cs="Times New Roman"/>
                      <w:i/>
                      <w:iCs/>
                      <w:color w:val="FFFFFF"/>
                      <w:sz w:val="15"/>
                      <w:szCs w:val="15"/>
                      <w:lang w:eastAsia="it-IT"/>
                    </w:rPr>
                    <w:t>...</w:t>
                  </w:r>
                </w:p>
              </w:tc>
            </w:tr>
            <w:tr w:rsidR="00B07E61" w:rsidRPr="00B51792">
              <w:trPr>
                <w:tblCellSpacing w:w="0" w:type="dxa"/>
              </w:trPr>
              <w:tc>
                <w:tcPr>
                  <w:tcW w:w="0" w:type="auto"/>
                  <w:vAlign w:val="center"/>
                  <w:hideMark/>
                </w:tcPr>
                <w:tbl>
                  <w:tblPr>
                    <w:tblW w:w="6522" w:type="dxa"/>
                    <w:tblCellSpacing w:w="0" w:type="dxa"/>
                    <w:tblCellMar>
                      <w:left w:w="0" w:type="dxa"/>
                      <w:right w:w="0" w:type="dxa"/>
                    </w:tblCellMar>
                    <w:tblLook w:val="04A0"/>
                  </w:tblPr>
                  <w:tblGrid>
                    <w:gridCol w:w="6522"/>
                  </w:tblGrid>
                  <w:tr w:rsidR="00B07E61" w:rsidRPr="00B07E61" w:rsidTr="00B51792">
                    <w:trPr>
                      <w:trHeight w:val="206"/>
                      <w:tblCellSpacing w:w="0" w:type="dxa"/>
                    </w:trPr>
                    <w:tc>
                      <w:tcPr>
                        <w:tcW w:w="0" w:type="auto"/>
                        <w:vAlign w:val="center"/>
                        <w:hideMark/>
                      </w:tcPr>
                      <w:p w:rsidR="00E12CF1" w:rsidRDefault="00B07E61" w:rsidP="00B51792">
                        <w:pPr>
                          <w:spacing w:before="100" w:beforeAutospacing="1" w:after="100" w:afterAutospacing="1" w:line="240" w:lineRule="auto"/>
                          <w:ind w:firstLine="0"/>
                          <w:rPr>
                            <w:rFonts w:ascii="Verdana" w:eastAsia="Times New Roman" w:hAnsi="Verdana" w:cs="Times New Roman"/>
                            <w:sz w:val="15"/>
                            <w:szCs w:val="15"/>
                            <w:lang w:eastAsia="it-IT"/>
                          </w:rPr>
                        </w:pPr>
                        <w:r w:rsidRPr="00B07E61">
                          <w:rPr>
                            <w:rFonts w:ascii="Verdana" w:eastAsia="Times New Roman" w:hAnsi="Verdana" w:cs="Times New Roman"/>
                            <w:b/>
                            <w:bCs/>
                            <w:sz w:val="15"/>
                            <w:szCs w:val="15"/>
                            <w:lang w:eastAsia="it-IT"/>
                          </w:rPr>
                          <w:br/>
                        </w:r>
                      </w:p>
                      <w:p w:rsidR="00E12CF1" w:rsidRDefault="00B07E61" w:rsidP="00B51792">
                        <w:pPr>
                          <w:spacing w:before="100" w:beforeAutospacing="1" w:after="100" w:afterAutospacing="1" w:line="240" w:lineRule="auto"/>
                          <w:ind w:right="-308" w:firstLine="0"/>
                          <w:rPr>
                            <w:rFonts w:ascii="Verdana" w:eastAsia="Times New Roman" w:hAnsi="Verdana" w:cs="Times New Roman"/>
                            <w:sz w:val="15"/>
                            <w:szCs w:val="15"/>
                            <w:lang w:eastAsia="it-IT"/>
                          </w:rPr>
                        </w:pPr>
                        <w:r>
                          <w:rPr>
                            <w:noProof/>
                            <w:lang w:eastAsia="it-IT"/>
                          </w:rPr>
                          <w:drawing>
                            <wp:inline distT="0" distB="0" distL="0" distR="0">
                              <wp:extent cx="557402" cy="838200"/>
                              <wp:effectExtent l="19050" t="0" r="0" b="0"/>
                              <wp:docPr id="178" name="Immagine 178" descr="C:\Users\Purpura\Desktop\0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Purpura\Desktop\01_a.jpg"/>
                                      <pic:cNvPicPr>
                                        <a:picLocks noChangeAspect="1" noChangeArrowheads="1"/>
                                      </pic:cNvPicPr>
                                    </pic:nvPicPr>
                                    <pic:blipFill>
                                      <a:blip r:embed="rId11" cstate="print"/>
                                      <a:srcRect/>
                                      <a:stretch>
                                        <a:fillRect/>
                                      </a:stretch>
                                    </pic:blipFill>
                                    <pic:spPr bwMode="auto">
                                      <a:xfrm>
                                        <a:off x="0" y="0"/>
                                        <a:ext cx="557402" cy="838200"/>
                                      </a:xfrm>
                                      <a:prstGeom prst="rect">
                                        <a:avLst/>
                                      </a:prstGeom>
                                      <a:noFill/>
                                      <a:ln w="9525">
                                        <a:noFill/>
                                        <a:miter lim="800000"/>
                                        <a:headEnd/>
                                        <a:tailEnd/>
                                      </a:ln>
                                    </pic:spPr>
                                  </pic:pic>
                                </a:graphicData>
                              </a:graphic>
                            </wp:inline>
                          </w:drawing>
                        </w:r>
                        <w:r w:rsidR="00E12CF1">
                          <w:rPr>
                            <w:rFonts w:ascii="Verdana" w:eastAsia="Times New Roman" w:hAnsi="Verdana" w:cs="Times New Roman"/>
                            <w:noProof/>
                            <w:sz w:val="15"/>
                            <w:szCs w:val="15"/>
                            <w:lang w:eastAsia="it-IT"/>
                          </w:rPr>
                          <w:drawing>
                            <wp:inline distT="0" distB="0" distL="0" distR="0">
                              <wp:extent cx="1295400" cy="1066800"/>
                              <wp:effectExtent l="19050" t="0" r="0" b="0"/>
                              <wp:docPr id="6" name="Immagine 5" descr="0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a.jpg"/>
                                      <pic:cNvPicPr/>
                                    </pic:nvPicPr>
                                    <pic:blipFill>
                                      <a:blip r:embed="rId12" cstate="print"/>
                                      <a:stretch>
                                        <a:fillRect/>
                                      </a:stretch>
                                    </pic:blipFill>
                                    <pic:spPr>
                                      <a:xfrm>
                                        <a:off x="0" y="0"/>
                                        <a:ext cx="1295400" cy="1066800"/>
                                      </a:xfrm>
                                      <a:prstGeom prst="rect">
                                        <a:avLst/>
                                      </a:prstGeom>
                                    </pic:spPr>
                                  </pic:pic>
                                </a:graphicData>
                              </a:graphic>
                            </wp:inline>
                          </w:drawing>
                        </w:r>
                        <w:r w:rsidRPr="00B07E61">
                          <w:rPr>
                            <w:rFonts w:ascii="Verdana" w:eastAsia="Times New Roman" w:hAnsi="Verdana" w:cs="Times New Roman"/>
                            <w:sz w:val="15"/>
                            <w:szCs w:val="15"/>
                            <w:lang w:eastAsia="it-IT"/>
                          </w:rPr>
                          <w:br/>
                        </w:r>
                      </w:p>
                      <w:p w:rsidR="00B07E61" w:rsidRPr="00B07E61" w:rsidRDefault="00B07E61" w:rsidP="00B51792">
                        <w:pPr>
                          <w:spacing w:before="100" w:beforeAutospacing="1" w:after="100" w:afterAutospacing="1" w:line="240" w:lineRule="auto"/>
                          <w:ind w:right="-308" w:firstLine="0"/>
                          <w:rPr>
                            <w:rFonts w:ascii="Times New Roman" w:eastAsia="Times New Roman" w:hAnsi="Times New Roman" w:cs="Times New Roman"/>
                            <w:sz w:val="24"/>
                            <w:szCs w:val="24"/>
                            <w:lang w:eastAsia="it-IT"/>
                          </w:rPr>
                        </w:pPr>
                        <w:r w:rsidRPr="00B07E61">
                          <w:rPr>
                            <w:rFonts w:ascii="Verdana" w:eastAsia="Times New Roman" w:hAnsi="Verdana" w:cs="Times New Roman"/>
                            <w:sz w:val="15"/>
                            <w:szCs w:val="15"/>
                            <w:lang w:eastAsia="it-IT"/>
                          </w:rPr>
                          <w:t>di Gianfranco Purpura</w:t>
                        </w:r>
                        <w:r w:rsidRPr="00B07E61">
                          <w:rPr>
                            <w:rFonts w:ascii="Verdana" w:eastAsia="Times New Roman" w:hAnsi="Verdana" w:cs="Times New Roman"/>
                            <w:sz w:val="15"/>
                            <w:szCs w:val="15"/>
                            <w:lang w:eastAsia="it-IT"/>
                          </w:rPr>
                          <w:br/>
                          <w:t xml:space="preserve">Da: Purpura, Diritto, papiri e scrittura, </w:t>
                        </w:r>
                        <w:proofErr w:type="spellStart"/>
                        <w:r w:rsidRPr="00B07E61">
                          <w:rPr>
                            <w:rFonts w:ascii="Verdana" w:eastAsia="Times New Roman" w:hAnsi="Verdana" w:cs="Times New Roman"/>
                            <w:sz w:val="15"/>
                            <w:szCs w:val="15"/>
                            <w:lang w:eastAsia="it-IT"/>
                          </w:rPr>
                          <w:t>Giappichelli</w:t>
                        </w:r>
                        <w:proofErr w:type="spellEnd"/>
                        <w:r w:rsidRPr="00B07E61">
                          <w:rPr>
                            <w:rFonts w:ascii="Verdana" w:eastAsia="Times New Roman" w:hAnsi="Verdana" w:cs="Times New Roman"/>
                            <w:sz w:val="15"/>
                            <w:szCs w:val="15"/>
                            <w:lang w:eastAsia="it-IT"/>
                          </w:rPr>
                          <w:t>, Torino, 1999, pp. 62-3; 166-7.</w:t>
                        </w:r>
                      </w:p>
                    </w:tc>
                  </w:tr>
                  <w:tr w:rsidR="00B07E61" w:rsidRPr="00B07E61" w:rsidTr="00B51792">
                    <w:trPr>
                      <w:trHeight w:val="206"/>
                      <w:tblCellSpacing w:w="0" w:type="dxa"/>
                    </w:trPr>
                    <w:tc>
                      <w:tcPr>
                        <w:tcW w:w="0" w:type="auto"/>
                        <w:vAlign w:val="center"/>
                        <w:hideMark/>
                      </w:tcPr>
                      <w:p w:rsidR="00B07E61" w:rsidRPr="00B07E61" w:rsidRDefault="00B07E61" w:rsidP="00B51792">
                        <w:pPr>
                          <w:spacing w:after="0" w:line="240" w:lineRule="auto"/>
                          <w:ind w:firstLine="0"/>
                          <w:rPr>
                            <w:rFonts w:ascii="Times New Roman" w:eastAsia="Times New Roman" w:hAnsi="Times New Roman" w:cs="Times New Roman"/>
                            <w:sz w:val="24"/>
                            <w:szCs w:val="24"/>
                            <w:lang w:eastAsia="it-IT"/>
                          </w:rPr>
                        </w:pPr>
                        <w:r w:rsidRPr="00B07E61">
                          <w:rPr>
                            <w:rFonts w:ascii="Verdana" w:eastAsia="Times New Roman" w:hAnsi="Verdana" w:cs="Times New Roman"/>
                            <w:sz w:val="15"/>
                            <w:szCs w:val="15"/>
                            <w:lang w:eastAsia="it-IT"/>
                          </w:rPr>
                          <w:br/>
                          <w:t xml:space="preserve">Una recente ipotesi sulle origini della scrittura nel mondo egeo rintraccia nelle </w:t>
                        </w:r>
                        <w:proofErr w:type="spellStart"/>
                        <w:r w:rsidRPr="00B07E61">
                          <w:rPr>
                            <w:rFonts w:ascii="Verdana" w:eastAsia="Times New Roman" w:hAnsi="Verdana" w:cs="Times New Roman"/>
                            <w:sz w:val="15"/>
                            <w:szCs w:val="15"/>
                            <w:lang w:eastAsia="it-IT"/>
                          </w:rPr>
                          <w:t>cretule</w:t>
                        </w:r>
                        <w:proofErr w:type="spellEnd"/>
                        <w:r w:rsidRPr="00B07E61">
                          <w:rPr>
                            <w:rFonts w:ascii="Verdana" w:eastAsia="Times New Roman" w:hAnsi="Verdana" w:cs="Times New Roman"/>
                            <w:sz w:val="15"/>
                            <w:szCs w:val="15"/>
                            <w:lang w:eastAsia="it-IT"/>
                          </w:rPr>
                          <w:t xml:space="preserve"> e nei sigilli - lasciati alla fine del III mill</w:t>
                        </w:r>
                        <w:r w:rsidR="001C539B">
                          <w:rPr>
                            <w:rFonts w:ascii="Verdana" w:eastAsia="Times New Roman" w:hAnsi="Verdana" w:cs="Times New Roman"/>
                            <w:sz w:val="15"/>
                            <w:szCs w:val="15"/>
                            <w:lang w:eastAsia="it-IT"/>
                          </w:rPr>
                          <w:t>ennio a.C. come riscontro su</w:t>
                        </w:r>
                        <w:r w:rsidR="00541421">
                          <w:rPr>
                            <w:rFonts w:ascii="Verdana" w:eastAsia="Times New Roman" w:hAnsi="Verdana" w:cs="Times New Roman"/>
                            <w:noProof/>
                            <w:sz w:val="15"/>
                            <w:szCs w:val="15"/>
                            <w:lang w:eastAsia="it-IT"/>
                          </w:rPr>
                          <w:drawing>
                            <wp:inline distT="0" distB="0" distL="0" distR="0">
                              <wp:extent cx="1519936" cy="670560"/>
                              <wp:effectExtent l="19050" t="0" r="4064" b="0"/>
                              <wp:docPr id="8" name="Immagine 3" descr="0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a.jpg"/>
                                      <pic:cNvPicPr/>
                                    </pic:nvPicPr>
                                    <pic:blipFill>
                                      <a:blip r:embed="rId13" cstate="print"/>
                                      <a:stretch>
                                        <a:fillRect/>
                                      </a:stretch>
                                    </pic:blipFill>
                                    <pic:spPr>
                                      <a:xfrm>
                                        <a:off x="0" y="0"/>
                                        <a:ext cx="1519936" cy="670560"/>
                                      </a:xfrm>
                                      <a:prstGeom prst="rect">
                                        <a:avLst/>
                                      </a:prstGeom>
                                    </pic:spPr>
                                  </pic:pic>
                                </a:graphicData>
                              </a:graphic>
                            </wp:inline>
                          </w:drawing>
                        </w:r>
                        <w:r w:rsidR="00541421">
                          <w:rPr>
                            <w:rFonts w:ascii="Verdana" w:eastAsia="Times New Roman" w:hAnsi="Verdana" w:cs="Times New Roman"/>
                            <w:sz w:val="15"/>
                            <w:szCs w:val="15"/>
                            <w:lang w:eastAsia="it-IT"/>
                          </w:rPr>
                          <w:t xml:space="preserve"> </w:t>
                        </w:r>
                        <w:r w:rsidRPr="00B07E61">
                          <w:rPr>
                            <w:rFonts w:ascii="Verdana" w:eastAsia="Times New Roman" w:hAnsi="Verdana" w:cs="Times New Roman"/>
                            <w:sz w:val="15"/>
                            <w:szCs w:val="15"/>
                            <w:lang w:eastAsia="it-IT"/>
                          </w:rPr>
                          <w:t xml:space="preserve">giare contenenti derrate, e oggetto di prelievo da parte di funzionari - i primi segni di un rudimentale sistema grafico </w:t>
                        </w:r>
                        <w:bookmarkStart w:id="0" w:name="sdfootnote1anc"/>
                        <w:r w:rsidR="00D44C83" w:rsidRPr="00B07E61">
                          <w:rPr>
                            <w:rFonts w:ascii="Verdana" w:eastAsia="Times New Roman" w:hAnsi="Verdana" w:cs="Times New Roman"/>
                            <w:sz w:val="15"/>
                            <w:szCs w:val="15"/>
                            <w:lang w:eastAsia="it-IT"/>
                          </w:rPr>
                          <w:fldChar w:fldCharType="begin"/>
                        </w:r>
                        <w:r w:rsidRPr="00B07E61">
                          <w:rPr>
                            <w:rFonts w:ascii="Verdana" w:eastAsia="Times New Roman" w:hAnsi="Verdana" w:cs="Times New Roman"/>
                            <w:sz w:val="15"/>
                            <w:szCs w:val="15"/>
                            <w:lang w:eastAsia="it-IT"/>
                          </w:rPr>
                          <w:instrText xml:space="preserve"> HYPERLINK "file:///E:\\iura\\d_cuneiformi\\edit\\index.html" \l "sdfootnote1sym" </w:instrText>
                        </w:r>
                        <w:r w:rsidR="00D44C83" w:rsidRPr="00B07E61">
                          <w:rPr>
                            <w:rFonts w:ascii="Verdana" w:eastAsia="Times New Roman" w:hAnsi="Verdana" w:cs="Times New Roman"/>
                            <w:sz w:val="15"/>
                            <w:szCs w:val="15"/>
                            <w:lang w:eastAsia="it-IT"/>
                          </w:rPr>
                          <w:fldChar w:fldCharType="separate"/>
                        </w:r>
                        <w:r w:rsidRPr="00B07E61">
                          <w:rPr>
                            <w:rFonts w:ascii="Verdana" w:eastAsia="Times New Roman" w:hAnsi="Verdana" w:cs="Times New Roman"/>
                            <w:color w:val="0000FF"/>
                            <w:sz w:val="15"/>
                            <w:u w:val="single"/>
                            <w:lang w:eastAsia="it-IT"/>
                          </w:rPr>
                          <w:t>(1)</w:t>
                        </w:r>
                        <w:r w:rsidR="00D44C83" w:rsidRPr="00B07E61">
                          <w:rPr>
                            <w:rFonts w:ascii="Verdana" w:eastAsia="Times New Roman" w:hAnsi="Verdana" w:cs="Times New Roman"/>
                            <w:sz w:val="15"/>
                            <w:szCs w:val="15"/>
                            <w:lang w:eastAsia="it-IT"/>
                          </w:rPr>
                          <w:fldChar w:fldCharType="end"/>
                        </w:r>
                        <w:bookmarkEnd w:id="0"/>
                        <w:r w:rsidRPr="00B07E61">
                          <w:rPr>
                            <w:rFonts w:ascii="Verdana" w:eastAsia="Times New Roman" w:hAnsi="Verdana" w:cs="Times New Roman"/>
                            <w:sz w:val="15"/>
                            <w:szCs w:val="15"/>
                            <w:lang w:eastAsia="it-IT"/>
                          </w:rPr>
                          <w:t xml:space="preserve">. </w:t>
                        </w:r>
                        <w:hyperlink r:id="rId14" w:history="1">
                          <w:r w:rsidR="00D44C83" w:rsidRPr="00D44C83">
                            <w:rPr>
                              <w:rFonts w:ascii="Verdana" w:eastAsia="Times New Roman" w:hAnsi="Verdana" w:cs="Times New Roman"/>
                              <w:noProof/>
                              <w:sz w:val="15"/>
                              <w:szCs w:val="15"/>
                              <w:lang w:eastAsia="it-IT"/>
                            </w:rPr>
                            <w:pict>
                              <v:shape id="_x0000_s1026" type="#_x0000_t75" alt="Bulla mesopotamica con calculi (tokens). Baghdad, Museo Archeologico." href="E:\iura\d_cuneiformi\edit\03.html" style="position:absolute;left:0;text-align:left;margin-left:0;margin-top:0;width:127.5pt;height:56.25pt;z-index:251657216;mso-wrap-distance-left:2.25pt;mso-wrap-distance-right:2.25pt;mso-position-horizontal:left;mso-position-horizontal-relative:text;mso-position-vertical-relative:line" o:allowoverlap="f" o:button="t">
                                <w10:wrap type="square"/>
                              </v:shape>
                            </w:pict>
                          </w:r>
                        </w:hyperlink>
                        <w:r w:rsidRPr="00B07E61">
                          <w:rPr>
                            <w:rFonts w:ascii="Verdana" w:eastAsia="Times New Roman" w:hAnsi="Verdana" w:cs="Times New Roman"/>
                            <w:sz w:val="15"/>
                            <w:szCs w:val="15"/>
                            <w:lang w:eastAsia="it-IT"/>
                          </w:rPr>
                          <w:br/>
                          <w:t>Ma sembra che già prima, in Oriente, disposizioni di servizio ed ordini di missione e di consegna da parte dell’autorità centrale, indirizzati a funzionari periferici per l’esazione di derrate, possano aver assunto la forma originaria di piccoli oggetti in argilla, pietra od osso (</w:t>
                        </w:r>
                        <w:proofErr w:type="spellStart"/>
                        <w:r w:rsidRPr="00B07E61">
                          <w:rPr>
                            <w:rFonts w:ascii="Verdana" w:eastAsia="Times New Roman" w:hAnsi="Verdana" w:cs="Times New Roman"/>
                            <w:i/>
                            <w:iCs/>
                            <w:sz w:val="15"/>
                            <w:szCs w:val="15"/>
                            <w:lang w:eastAsia="it-IT"/>
                          </w:rPr>
                          <w:t>calculi</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tokens</w:t>
                        </w:r>
                        <w:proofErr w:type="spellEnd"/>
                        <w:r w:rsidRPr="00B07E61">
                          <w:rPr>
                            <w:rFonts w:ascii="Verdana" w:eastAsia="Times New Roman" w:hAnsi="Verdana" w:cs="Times New Roman"/>
                            <w:sz w:val="15"/>
                            <w:szCs w:val="15"/>
                            <w:lang w:eastAsia="it-IT"/>
                          </w:rPr>
                          <w:t xml:space="preserve">), simbolicamente corrispondenti in qualità e quantità a quelli richiesti, che venivano rinchiusi in involucri sigillati, sfere cioè cave d’argilla impresse all’esterno con analoghi simboli </w:t>
                        </w:r>
                        <w:bookmarkStart w:id="1" w:name="sdfootnote2anc"/>
                        <w:r w:rsidR="00D44C83" w:rsidRPr="00B07E61">
                          <w:rPr>
                            <w:rFonts w:ascii="Verdana" w:eastAsia="Times New Roman" w:hAnsi="Verdana" w:cs="Times New Roman"/>
                            <w:sz w:val="15"/>
                            <w:szCs w:val="15"/>
                            <w:lang w:eastAsia="it-IT"/>
                          </w:rPr>
                          <w:fldChar w:fldCharType="begin"/>
                        </w:r>
                        <w:r w:rsidRPr="00B07E61">
                          <w:rPr>
                            <w:rFonts w:ascii="Verdana" w:eastAsia="Times New Roman" w:hAnsi="Verdana" w:cs="Times New Roman"/>
                            <w:sz w:val="15"/>
                            <w:szCs w:val="15"/>
                            <w:lang w:eastAsia="it-IT"/>
                          </w:rPr>
                          <w:instrText xml:space="preserve"> HYPERLINK "file:///E:\\iura\\d_cuneiformi\\edit\\index.html" \l "sdfootnote2sym" </w:instrText>
                        </w:r>
                        <w:r w:rsidR="00D44C83" w:rsidRPr="00B07E61">
                          <w:rPr>
                            <w:rFonts w:ascii="Verdana" w:eastAsia="Times New Roman" w:hAnsi="Verdana" w:cs="Times New Roman"/>
                            <w:sz w:val="15"/>
                            <w:szCs w:val="15"/>
                            <w:lang w:eastAsia="it-IT"/>
                          </w:rPr>
                          <w:fldChar w:fldCharType="separate"/>
                        </w:r>
                        <w:r w:rsidRPr="00B07E61">
                          <w:rPr>
                            <w:rFonts w:ascii="Verdana" w:eastAsia="Times New Roman" w:hAnsi="Verdana" w:cs="Times New Roman"/>
                            <w:color w:val="0000FF"/>
                            <w:sz w:val="15"/>
                            <w:u w:val="single"/>
                            <w:lang w:eastAsia="it-IT"/>
                          </w:rPr>
                          <w:t>(2)</w:t>
                        </w:r>
                        <w:r w:rsidR="00D44C83" w:rsidRPr="00B07E61">
                          <w:rPr>
                            <w:rFonts w:ascii="Verdana" w:eastAsia="Times New Roman" w:hAnsi="Verdana" w:cs="Times New Roman"/>
                            <w:sz w:val="15"/>
                            <w:szCs w:val="15"/>
                            <w:lang w:eastAsia="it-IT"/>
                          </w:rPr>
                          <w:fldChar w:fldCharType="end"/>
                        </w:r>
                        <w:bookmarkEnd w:id="1"/>
                        <w:r w:rsidRPr="00B07E61">
                          <w:rPr>
                            <w:rFonts w:ascii="Verdana" w:eastAsia="Times New Roman" w:hAnsi="Verdana" w:cs="Times New Roman"/>
                            <w:sz w:val="15"/>
                            <w:szCs w:val="15"/>
                            <w:lang w:eastAsia="it-IT"/>
                          </w:rPr>
                          <w:t xml:space="preserve">. </w:t>
                        </w:r>
                        <w:hyperlink r:id="rId15" w:history="1">
                          <w:r w:rsidR="00D44C83" w:rsidRPr="00D44C83">
                            <w:rPr>
                              <w:rFonts w:ascii="Verdana" w:eastAsia="Times New Roman" w:hAnsi="Verdana" w:cs="Times New Roman"/>
                              <w:noProof/>
                              <w:sz w:val="15"/>
                              <w:szCs w:val="15"/>
                              <w:lang w:eastAsia="it-IT"/>
                            </w:rPr>
                            <w:pict>
                              <v:shape id="_x0000_s1027" type="#_x0000_t75" alt="Dittico ligneo con perni in avorio dal relitto del XV sec. a.C. ad Ulu Burun (Turchia)." href="E:\iura\d_cuneiformi\edit\02.html" style="position:absolute;left:0;text-align:left;margin-left:0;margin-top:0;width:76.5pt;height:63pt;z-index:251658240;mso-wrap-distance-left:0;mso-wrap-distance-top:3pt;mso-wrap-distance-right:0;mso-wrap-distance-bottom:3pt;mso-position-horizontal:left;mso-position-horizontal-relative:text;mso-position-vertical-relative:line" o:allowoverlap="f" o:button="t">
                                <w10:wrap type="square"/>
                              </v:shape>
                            </w:pict>
                          </w:r>
                        </w:hyperlink>
                        <w:r w:rsidRPr="00B07E61">
                          <w:rPr>
                            <w:rFonts w:ascii="Verdana" w:eastAsia="Times New Roman" w:hAnsi="Verdana" w:cs="Times New Roman"/>
                            <w:sz w:val="15"/>
                            <w:szCs w:val="15"/>
                            <w:lang w:eastAsia="it-IT"/>
                          </w:rPr>
                          <w:br/>
                          <w:t>Tali bolle sferiche d’argilla completamente chiuse (</w:t>
                        </w:r>
                        <w:proofErr w:type="spellStart"/>
                        <w:r w:rsidRPr="00B07E61">
                          <w:rPr>
                            <w:rFonts w:ascii="Verdana" w:eastAsia="Times New Roman" w:hAnsi="Verdana" w:cs="Times New Roman"/>
                            <w:i/>
                            <w:iCs/>
                            <w:sz w:val="15"/>
                            <w:szCs w:val="15"/>
                            <w:lang w:eastAsia="it-IT"/>
                          </w:rPr>
                          <w:t>bullae</w:t>
                        </w:r>
                        <w:proofErr w:type="spellEnd"/>
                        <w:r w:rsidRPr="00B07E61">
                          <w:rPr>
                            <w:rFonts w:ascii="Verdana" w:eastAsia="Times New Roman" w:hAnsi="Verdana" w:cs="Times New Roman"/>
                            <w:sz w:val="15"/>
                            <w:szCs w:val="15"/>
                            <w:lang w:eastAsia="it-IT"/>
                          </w:rPr>
                          <w:t>) - ad esempio provenienti dall’</w:t>
                        </w:r>
                        <w:proofErr w:type="spellStart"/>
                        <w:r w:rsidRPr="00B07E61">
                          <w:rPr>
                            <w:rFonts w:ascii="Verdana" w:eastAsia="Times New Roman" w:hAnsi="Verdana" w:cs="Times New Roman"/>
                            <w:sz w:val="15"/>
                            <w:szCs w:val="15"/>
                            <w:lang w:eastAsia="it-IT"/>
                          </w:rPr>
                          <w:t>Elam</w:t>
                        </w:r>
                        <w:proofErr w:type="spellEnd"/>
                        <w:r w:rsidRPr="00B07E61">
                          <w:rPr>
                            <w:rFonts w:ascii="Verdana" w:eastAsia="Times New Roman" w:hAnsi="Verdana" w:cs="Times New Roman"/>
                            <w:sz w:val="15"/>
                            <w:szCs w:val="15"/>
                            <w:lang w:eastAsia="it-IT"/>
                          </w:rPr>
                          <w:t xml:space="preserve"> e risalenti al IV millennio a.C. - contenevano all’interno gettoni d’argilla di valore convenzionale e recavano sulla </w:t>
                        </w:r>
                        <w:proofErr w:type="spellStart"/>
                        <w:r w:rsidRPr="00B07E61">
                          <w:rPr>
                            <w:rFonts w:ascii="Verdana" w:eastAsia="Times New Roman" w:hAnsi="Verdana" w:cs="Times New Roman"/>
                            <w:sz w:val="15"/>
                            <w:szCs w:val="15"/>
                            <w:lang w:eastAsia="it-IT"/>
                          </w:rPr>
                          <w:t>superfice</w:t>
                        </w:r>
                        <w:proofErr w:type="spellEnd"/>
                        <w:r w:rsidRPr="00B07E61">
                          <w:rPr>
                            <w:rFonts w:ascii="Verdana" w:eastAsia="Times New Roman" w:hAnsi="Verdana" w:cs="Times New Roman"/>
                            <w:sz w:val="15"/>
                            <w:szCs w:val="15"/>
                            <w:lang w:eastAsia="it-IT"/>
                          </w:rPr>
                          <w:t xml:space="preserve"> esterna traccia del rotolamento di uno o due sigilli cilindrici </w:t>
                        </w:r>
                        <w:bookmarkStart w:id="2" w:name="sdfootnote3anc"/>
                        <w:r w:rsidR="00D44C83" w:rsidRPr="00B07E61">
                          <w:rPr>
                            <w:rFonts w:ascii="Verdana" w:eastAsia="Times New Roman" w:hAnsi="Verdana" w:cs="Times New Roman"/>
                            <w:sz w:val="15"/>
                            <w:szCs w:val="15"/>
                            <w:lang w:eastAsia="it-IT"/>
                          </w:rPr>
                          <w:fldChar w:fldCharType="begin"/>
                        </w:r>
                        <w:r w:rsidRPr="00B07E61">
                          <w:rPr>
                            <w:rFonts w:ascii="Verdana" w:eastAsia="Times New Roman" w:hAnsi="Verdana" w:cs="Times New Roman"/>
                            <w:sz w:val="15"/>
                            <w:szCs w:val="15"/>
                            <w:lang w:eastAsia="it-IT"/>
                          </w:rPr>
                          <w:instrText xml:space="preserve"> HYPERLINK "file:///E:\\iura\\d_cuneiformi\\edit\\index.html" \l "sdfootnote3sym" </w:instrText>
                        </w:r>
                        <w:r w:rsidR="00D44C83" w:rsidRPr="00B07E61">
                          <w:rPr>
                            <w:rFonts w:ascii="Verdana" w:eastAsia="Times New Roman" w:hAnsi="Verdana" w:cs="Times New Roman"/>
                            <w:sz w:val="15"/>
                            <w:szCs w:val="15"/>
                            <w:lang w:eastAsia="it-IT"/>
                          </w:rPr>
                          <w:fldChar w:fldCharType="separate"/>
                        </w:r>
                        <w:r w:rsidRPr="00B07E61">
                          <w:rPr>
                            <w:rFonts w:ascii="Verdana" w:eastAsia="Times New Roman" w:hAnsi="Verdana" w:cs="Times New Roman"/>
                            <w:color w:val="0000FF"/>
                            <w:sz w:val="15"/>
                            <w:u w:val="single"/>
                            <w:lang w:eastAsia="it-IT"/>
                          </w:rPr>
                          <w:t>(3)</w:t>
                        </w:r>
                        <w:r w:rsidR="00D44C83" w:rsidRPr="00B07E61">
                          <w:rPr>
                            <w:rFonts w:ascii="Verdana" w:eastAsia="Times New Roman" w:hAnsi="Verdana" w:cs="Times New Roman"/>
                            <w:sz w:val="15"/>
                            <w:szCs w:val="15"/>
                            <w:lang w:eastAsia="it-IT"/>
                          </w:rPr>
                          <w:fldChar w:fldCharType="end"/>
                        </w:r>
                        <w:bookmarkEnd w:id="2"/>
                        <w:r w:rsidRPr="00B07E61">
                          <w:rPr>
                            <w:rFonts w:ascii="Verdana" w:eastAsia="Times New Roman" w:hAnsi="Verdana" w:cs="Times New Roman"/>
                            <w:sz w:val="15"/>
                            <w:szCs w:val="15"/>
                            <w:lang w:eastAsia="it-IT"/>
                          </w:rPr>
                          <w:t xml:space="preserve">. Le </w:t>
                        </w:r>
                        <w:proofErr w:type="spellStart"/>
                        <w:r w:rsidRPr="00B07E61">
                          <w:rPr>
                            <w:rFonts w:ascii="Verdana" w:eastAsia="Times New Roman" w:hAnsi="Verdana" w:cs="Times New Roman"/>
                            <w:i/>
                            <w:iCs/>
                            <w:sz w:val="15"/>
                            <w:szCs w:val="15"/>
                            <w:lang w:eastAsia="it-IT"/>
                          </w:rPr>
                          <w:t>bullae</w:t>
                        </w:r>
                        <w:proofErr w:type="spellEnd"/>
                        <w:r w:rsidRPr="00B07E61">
                          <w:rPr>
                            <w:rFonts w:ascii="Verdana" w:eastAsia="Times New Roman" w:hAnsi="Verdana" w:cs="Times New Roman"/>
                            <w:sz w:val="15"/>
                            <w:szCs w:val="15"/>
                            <w:lang w:eastAsia="it-IT"/>
                          </w:rPr>
                          <w:t xml:space="preserve"> erano destinate ad essere trattenute, quale ricevuta dell’avvenuta distribuzione delle razioni. Segni corrispondenti vennero in seguito apposti direttamente su di un involucro destinato a divenire una tavoletta d’argilla a cuscinetto con dati ideografici e numerici </w:t>
                        </w:r>
                        <w:bookmarkStart w:id="3" w:name="sdfootnote4anc"/>
                        <w:r w:rsidR="00D44C83" w:rsidRPr="00B07E61">
                          <w:rPr>
                            <w:rFonts w:ascii="Verdana" w:eastAsia="Times New Roman" w:hAnsi="Verdana" w:cs="Times New Roman"/>
                            <w:sz w:val="15"/>
                            <w:szCs w:val="15"/>
                            <w:lang w:eastAsia="it-IT"/>
                          </w:rPr>
                          <w:fldChar w:fldCharType="begin"/>
                        </w:r>
                        <w:r w:rsidRPr="00B07E61">
                          <w:rPr>
                            <w:rFonts w:ascii="Verdana" w:eastAsia="Times New Roman" w:hAnsi="Verdana" w:cs="Times New Roman"/>
                            <w:sz w:val="15"/>
                            <w:szCs w:val="15"/>
                            <w:lang w:eastAsia="it-IT"/>
                          </w:rPr>
                          <w:instrText xml:space="preserve"> HYPERLINK "file:///E:\\iura\\d_cuneiformi\\edit\\index.html" \l "sdfootnote4sym" </w:instrText>
                        </w:r>
                        <w:r w:rsidR="00D44C83" w:rsidRPr="00B07E61">
                          <w:rPr>
                            <w:rFonts w:ascii="Verdana" w:eastAsia="Times New Roman" w:hAnsi="Verdana" w:cs="Times New Roman"/>
                            <w:sz w:val="15"/>
                            <w:szCs w:val="15"/>
                            <w:lang w:eastAsia="it-IT"/>
                          </w:rPr>
                          <w:fldChar w:fldCharType="separate"/>
                        </w:r>
                        <w:r w:rsidRPr="00B07E61">
                          <w:rPr>
                            <w:rFonts w:ascii="Verdana" w:eastAsia="Times New Roman" w:hAnsi="Verdana" w:cs="Times New Roman"/>
                            <w:color w:val="0000FF"/>
                            <w:sz w:val="15"/>
                            <w:u w:val="single"/>
                            <w:lang w:eastAsia="it-IT"/>
                          </w:rPr>
                          <w:t>(4)</w:t>
                        </w:r>
                        <w:r w:rsidR="00D44C83" w:rsidRPr="00B07E61">
                          <w:rPr>
                            <w:rFonts w:ascii="Verdana" w:eastAsia="Times New Roman" w:hAnsi="Verdana" w:cs="Times New Roman"/>
                            <w:sz w:val="15"/>
                            <w:szCs w:val="15"/>
                            <w:lang w:eastAsia="it-IT"/>
                          </w:rPr>
                          <w:fldChar w:fldCharType="end"/>
                        </w:r>
                        <w:bookmarkEnd w:id="3"/>
                        <w:r w:rsidRPr="00B07E61">
                          <w:rPr>
                            <w:rFonts w:ascii="Verdana" w:eastAsia="Times New Roman" w:hAnsi="Verdana" w:cs="Times New Roman"/>
                            <w:sz w:val="15"/>
                            <w:szCs w:val="15"/>
                            <w:lang w:eastAsia="it-IT"/>
                          </w:rPr>
                          <w:t xml:space="preserve">. Non solo tale ipotesi sulle origini della scrittura collega operazioni di computo e numeri alla nascita di un sistema grafico e delle lettere, ma presenta il vantaggio di spiegare l’antichissima doppia struttura dei documenti contabili, perpetuatasi sino all’età greco romana. Le tavolette mesopotamiche degli inizi del II millennio a.C., avviluppate le une dentro l’altre con duplice scritturazione </w:t>
                        </w:r>
                        <w:bookmarkStart w:id="4" w:name="sdfootnote5anc"/>
                        <w:r w:rsidR="00D44C83" w:rsidRPr="00B07E61">
                          <w:rPr>
                            <w:rFonts w:ascii="Verdana" w:eastAsia="Times New Roman" w:hAnsi="Verdana" w:cs="Times New Roman"/>
                            <w:sz w:val="15"/>
                            <w:szCs w:val="15"/>
                            <w:lang w:eastAsia="it-IT"/>
                          </w:rPr>
                          <w:fldChar w:fldCharType="begin"/>
                        </w:r>
                        <w:r w:rsidRPr="00B07E61">
                          <w:rPr>
                            <w:rFonts w:ascii="Verdana" w:eastAsia="Times New Roman" w:hAnsi="Verdana" w:cs="Times New Roman"/>
                            <w:sz w:val="15"/>
                            <w:szCs w:val="15"/>
                            <w:lang w:eastAsia="it-IT"/>
                          </w:rPr>
                          <w:instrText xml:space="preserve"> HYPERLINK "file:///E:\\iura\\d_cuneiformi\\edit\\index.html" \l "sdfootnote5sym" </w:instrText>
                        </w:r>
                        <w:r w:rsidR="00D44C83" w:rsidRPr="00B07E61">
                          <w:rPr>
                            <w:rFonts w:ascii="Verdana" w:eastAsia="Times New Roman" w:hAnsi="Verdana" w:cs="Times New Roman"/>
                            <w:sz w:val="15"/>
                            <w:szCs w:val="15"/>
                            <w:lang w:eastAsia="it-IT"/>
                          </w:rPr>
                          <w:fldChar w:fldCharType="separate"/>
                        </w:r>
                        <w:r w:rsidRPr="00B07E61">
                          <w:rPr>
                            <w:rFonts w:ascii="Verdana" w:eastAsia="Times New Roman" w:hAnsi="Verdana" w:cs="Times New Roman"/>
                            <w:color w:val="0000FF"/>
                            <w:sz w:val="15"/>
                            <w:u w:val="single"/>
                            <w:lang w:eastAsia="it-IT"/>
                          </w:rPr>
                          <w:t>(5)</w:t>
                        </w:r>
                        <w:r w:rsidR="00D44C83" w:rsidRPr="00B07E61">
                          <w:rPr>
                            <w:rFonts w:ascii="Verdana" w:eastAsia="Times New Roman" w:hAnsi="Verdana" w:cs="Times New Roman"/>
                            <w:sz w:val="15"/>
                            <w:szCs w:val="15"/>
                            <w:lang w:eastAsia="it-IT"/>
                          </w:rPr>
                          <w:fldChar w:fldCharType="end"/>
                        </w:r>
                        <w:bookmarkEnd w:id="4"/>
                        <w:r w:rsidRPr="00B07E61">
                          <w:rPr>
                            <w:rFonts w:ascii="Verdana" w:eastAsia="Times New Roman" w:hAnsi="Verdana" w:cs="Times New Roman"/>
                            <w:sz w:val="15"/>
                            <w:szCs w:val="15"/>
                            <w:lang w:eastAsia="it-IT"/>
                          </w:rPr>
                          <w:t xml:space="preserve">, si collegano forse alle pratiche ben più antiche sopra descritte e sembrano racchiudere almeno l’idea fondamentale alla base della duplice scritturazione del mondo greco romano: quella dell’autenticazione di un testo </w:t>
                        </w:r>
                        <w:bookmarkStart w:id="5" w:name="sdfootnote6anc"/>
                        <w:r w:rsidR="00D44C83" w:rsidRPr="00B07E61">
                          <w:rPr>
                            <w:rFonts w:ascii="Verdana" w:eastAsia="Times New Roman" w:hAnsi="Verdana" w:cs="Times New Roman"/>
                            <w:sz w:val="15"/>
                            <w:szCs w:val="15"/>
                            <w:lang w:eastAsia="it-IT"/>
                          </w:rPr>
                          <w:fldChar w:fldCharType="begin"/>
                        </w:r>
                        <w:r w:rsidRPr="00B07E61">
                          <w:rPr>
                            <w:rFonts w:ascii="Verdana" w:eastAsia="Times New Roman" w:hAnsi="Verdana" w:cs="Times New Roman"/>
                            <w:sz w:val="15"/>
                            <w:szCs w:val="15"/>
                            <w:lang w:eastAsia="it-IT"/>
                          </w:rPr>
                          <w:instrText xml:space="preserve"> HYPERLINK "file:///E:\\iura\\d_cuneiformi\\edit\\index.html" \l "sdfootnote6sym" </w:instrText>
                        </w:r>
                        <w:r w:rsidR="00D44C83" w:rsidRPr="00B07E61">
                          <w:rPr>
                            <w:rFonts w:ascii="Verdana" w:eastAsia="Times New Roman" w:hAnsi="Verdana" w:cs="Times New Roman"/>
                            <w:sz w:val="15"/>
                            <w:szCs w:val="15"/>
                            <w:lang w:eastAsia="it-IT"/>
                          </w:rPr>
                          <w:fldChar w:fldCharType="separate"/>
                        </w:r>
                        <w:r w:rsidRPr="00B07E61">
                          <w:rPr>
                            <w:rFonts w:ascii="Verdana" w:eastAsia="Times New Roman" w:hAnsi="Verdana" w:cs="Times New Roman"/>
                            <w:color w:val="0000FF"/>
                            <w:sz w:val="15"/>
                            <w:u w:val="single"/>
                            <w:lang w:eastAsia="it-IT"/>
                          </w:rPr>
                          <w:t>(6)</w:t>
                        </w:r>
                        <w:r w:rsidR="00D44C83" w:rsidRPr="00B07E61">
                          <w:rPr>
                            <w:rFonts w:ascii="Verdana" w:eastAsia="Times New Roman" w:hAnsi="Verdana" w:cs="Times New Roman"/>
                            <w:sz w:val="15"/>
                            <w:szCs w:val="15"/>
                            <w:lang w:eastAsia="it-IT"/>
                          </w:rPr>
                          <w:fldChar w:fldCharType="end"/>
                        </w:r>
                        <w:bookmarkEnd w:id="5"/>
                        <w:r w:rsidRPr="00B07E61">
                          <w:rPr>
                            <w:rFonts w:ascii="Verdana" w:eastAsia="Times New Roman" w:hAnsi="Verdana" w:cs="Times New Roman"/>
                            <w:sz w:val="15"/>
                            <w:szCs w:val="15"/>
                            <w:lang w:eastAsia="it-IT"/>
                          </w:rPr>
                          <w:t>.</w:t>
                        </w:r>
                      </w:p>
                    </w:tc>
                  </w:tr>
                  <w:tr w:rsidR="00B07E61" w:rsidRPr="00B07E61" w:rsidTr="00B51792">
                    <w:trPr>
                      <w:trHeight w:val="206"/>
                      <w:tblCellSpacing w:w="0" w:type="dxa"/>
                    </w:trPr>
                    <w:tc>
                      <w:tcPr>
                        <w:tcW w:w="0" w:type="auto"/>
                        <w:vAlign w:val="center"/>
                        <w:hideMark/>
                      </w:tcPr>
                      <w:p w:rsidR="00B07E61" w:rsidRPr="00B07E61" w:rsidRDefault="00B07E61" w:rsidP="00B51792">
                        <w:pPr>
                          <w:spacing w:after="0" w:line="240" w:lineRule="auto"/>
                          <w:ind w:firstLine="0"/>
                          <w:rPr>
                            <w:rFonts w:ascii="Times New Roman" w:eastAsia="Times New Roman" w:hAnsi="Times New Roman" w:cs="Times New Roman"/>
                            <w:sz w:val="24"/>
                            <w:szCs w:val="24"/>
                            <w:lang w:eastAsia="it-IT"/>
                          </w:rPr>
                        </w:pPr>
                        <w:r w:rsidRPr="00B07E61">
                          <w:rPr>
                            <w:rFonts w:ascii="Verdana" w:eastAsia="Times New Roman" w:hAnsi="Verdana" w:cs="Times New Roman"/>
                            <w:sz w:val="15"/>
                            <w:szCs w:val="15"/>
                            <w:lang w:eastAsia="it-IT"/>
                          </w:rPr>
                          <w:t>© Gianfranco Purpura</w:t>
                        </w:r>
                        <w:r w:rsidRPr="00B07E61">
                          <w:rPr>
                            <w:rFonts w:ascii="Verdana" w:eastAsia="Times New Roman" w:hAnsi="Verdana" w:cs="Times New Roman"/>
                            <w:sz w:val="15"/>
                            <w:szCs w:val="15"/>
                            <w:lang w:eastAsia="it-IT"/>
                          </w:rPr>
                          <w:br/>
                          <w:t>Dipartimento Storia del Diritto</w:t>
                        </w:r>
                        <w:r w:rsidRPr="00B07E61">
                          <w:rPr>
                            <w:rFonts w:ascii="Verdana" w:eastAsia="Times New Roman" w:hAnsi="Verdana" w:cs="Times New Roman"/>
                            <w:sz w:val="15"/>
                            <w:szCs w:val="15"/>
                            <w:lang w:eastAsia="it-IT"/>
                          </w:rPr>
                          <w:br/>
                          <w:t>Università di Palermo</w:t>
                        </w:r>
                      </w:p>
                    </w:tc>
                  </w:tr>
                  <w:tr w:rsidR="00B07E61" w:rsidRPr="00B51792" w:rsidTr="00B51792">
                    <w:trPr>
                      <w:trHeight w:val="6810"/>
                      <w:tblCellSpacing w:w="0" w:type="dxa"/>
                    </w:trPr>
                    <w:tc>
                      <w:tcPr>
                        <w:tcW w:w="0" w:type="auto"/>
                        <w:vAlign w:val="center"/>
                        <w:hideMark/>
                      </w:tcPr>
                      <w:p w:rsidR="00B07E61" w:rsidRPr="00B07E61" w:rsidRDefault="00D44C83" w:rsidP="00B51792">
                        <w:pPr>
                          <w:spacing w:after="0" w:line="240" w:lineRule="auto"/>
                          <w:ind w:firstLine="0"/>
                          <w:rPr>
                            <w:rFonts w:ascii="Times New Roman" w:eastAsia="Times New Roman" w:hAnsi="Times New Roman" w:cs="Times New Roman"/>
                            <w:sz w:val="24"/>
                            <w:szCs w:val="24"/>
                            <w:lang w:eastAsia="it-IT"/>
                          </w:rPr>
                        </w:pPr>
                        <w:r w:rsidRPr="00D44C83">
                          <w:rPr>
                            <w:rFonts w:ascii="Times New Roman" w:eastAsia="Times New Roman" w:hAnsi="Times New Roman" w:cs="Times New Roman"/>
                            <w:sz w:val="24"/>
                            <w:szCs w:val="24"/>
                            <w:lang w:eastAsia="it-IT"/>
                          </w:rPr>
                          <w:lastRenderedPageBreak/>
                          <w:pict>
                            <v:rect id="_x0000_i1025" style="width:457.8pt;height:.6pt" o:hrpct="950" o:hralign="center" o:hrstd="t" o:hrnoshade="t" o:hr="t" fillcolor="#a0a0a0" stroked="f"/>
                          </w:pict>
                        </w:r>
                      </w:p>
                      <w:p w:rsidR="00B07E61" w:rsidRPr="00B07E61" w:rsidRDefault="00B07E61" w:rsidP="00B51792">
                        <w:pPr>
                          <w:spacing w:after="0" w:line="240" w:lineRule="auto"/>
                          <w:ind w:firstLine="0"/>
                          <w:rPr>
                            <w:rFonts w:ascii="Times New Roman" w:eastAsia="Times New Roman" w:hAnsi="Times New Roman" w:cs="Times New Roman"/>
                            <w:sz w:val="24"/>
                            <w:szCs w:val="24"/>
                            <w:lang w:val="en-US" w:eastAsia="it-IT"/>
                          </w:rPr>
                        </w:pPr>
                        <w:r w:rsidRPr="00B07E61">
                          <w:rPr>
                            <w:rFonts w:ascii="Verdana" w:eastAsia="Times New Roman" w:hAnsi="Verdana" w:cs="Times New Roman"/>
                            <w:b/>
                            <w:bCs/>
                            <w:sz w:val="15"/>
                            <w:szCs w:val="15"/>
                            <w:lang w:eastAsia="it-IT"/>
                          </w:rPr>
                          <w:t>Note:</w:t>
                        </w:r>
                        <w:r w:rsidRPr="00B07E61">
                          <w:rPr>
                            <w:rFonts w:ascii="Verdana" w:eastAsia="Times New Roman" w:hAnsi="Verdana" w:cs="Times New Roman"/>
                            <w:sz w:val="15"/>
                            <w:szCs w:val="15"/>
                            <w:lang w:eastAsia="it-IT"/>
                          </w:rPr>
                          <w:br/>
                        </w:r>
                        <w:bookmarkStart w:id="6" w:name="sdfootnote1sym"/>
                        <w:r w:rsidR="00D44C83" w:rsidRPr="00B07E61">
                          <w:rPr>
                            <w:rFonts w:ascii="Verdana" w:eastAsia="Times New Roman" w:hAnsi="Verdana" w:cs="Times New Roman"/>
                            <w:sz w:val="15"/>
                            <w:szCs w:val="15"/>
                            <w:lang w:eastAsia="it-IT"/>
                          </w:rPr>
                          <w:fldChar w:fldCharType="begin"/>
                        </w:r>
                        <w:r w:rsidRPr="00B07E61">
                          <w:rPr>
                            <w:rFonts w:ascii="Verdana" w:eastAsia="Times New Roman" w:hAnsi="Verdana" w:cs="Times New Roman"/>
                            <w:sz w:val="15"/>
                            <w:szCs w:val="15"/>
                            <w:lang w:eastAsia="it-IT"/>
                          </w:rPr>
                          <w:instrText xml:space="preserve"> HYPERLINK "file:///E:\\iura\\d_cuneiformi\\edit\\index.html" \l "sdfootnote1anc" </w:instrText>
                        </w:r>
                        <w:r w:rsidR="00D44C83" w:rsidRPr="00B07E61">
                          <w:rPr>
                            <w:rFonts w:ascii="Verdana" w:eastAsia="Times New Roman" w:hAnsi="Verdana" w:cs="Times New Roman"/>
                            <w:sz w:val="15"/>
                            <w:szCs w:val="15"/>
                            <w:lang w:eastAsia="it-IT"/>
                          </w:rPr>
                          <w:fldChar w:fldCharType="separate"/>
                        </w:r>
                        <w:r w:rsidRPr="00B07E61">
                          <w:rPr>
                            <w:rFonts w:ascii="Verdana" w:eastAsia="Times New Roman" w:hAnsi="Verdana" w:cs="Times New Roman"/>
                            <w:color w:val="0000FF"/>
                            <w:sz w:val="15"/>
                            <w:u w:val="single"/>
                            <w:lang w:eastAsia="it-IT"/>
                          </w:rPr>
                          <w:t>1</w:t>
                        </w:r>
                        <w:r w:rsidR="00D44C83" w:rsidRPr="00B07E61">
                          <w:rPr>
                            <w:rFonts w:ascii="Verdana" w:eastAsia="Times New Roman" w:hAnsi="Verdana" w:cs="Times New Roman"/>
                            <w:sz w:val="15"/>
                            <w:szCs w:val="15"/>
                            <w:lang w:eastAsia="it-IT"/>
                          </w:rPr>
                          <w:fldChar w:fldCharType="end"/>
                        </w:r>
                        <w:bookmarkEnd w:id="6"/>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Godart</w:t>
                        </w:r>
                        <w:proofErr w:type="spellEnd"/>
                        <w:r w:rsidRPr="00B07E61">
                          <w:rPr>
                            <w:rFonts w:ascii="Verdana" w:eastAsia="Times New Roman" w:hAnsi="Verdana" w:cs="Times New Roman"/>
                            <w:sz w:val="15"/>
                            <w:szCs w:val="15"/>
                            <w:lang w:eastAsia="it-IT"/>
                          </w:rPr>
                          <w:t xml:space="preserve">, </w:t>
                        </w:r>
                        <w:r w:rsidRPr="00B07E61">
                          <w:rPr>
                            <w:rFonts w:ascii="Verdana" w:eastAsia="Times New Roman" w:hAnsi="Verdana" w:cs="Times New Roman"/>
                            <w:i/>
                            <w:iCs/>
                            <w:sz w:val="15"/>
                            <w:szCs w:val="15"/>
                            <w:lang w:eastAsia="it-IT"/>
                          </w:rPr>
                          <w:t>L’invenzione della scrittura. Dal Nilo alla Grecia</w:t>
                        </w:r>
                        <w:r w:rsidRPr="00B07E61">
                          <w:rPr>
                            <w:rFonts w:ascii="Verdana" w:eastAsia="Times New Roman" w:hAnsi="Verdana" w:cs="Times New Roman"/>
                            <w:sz w:val="15"/>
                            <w:szCs w:val="15"/>
                            <w:lang w:eastAsia="it-IT"/>
                          </w:rPr>
                          <w:t xml:space="preserve">, Torino, 1992, pp. 91 ss.; 103 ss.; 241 ss. </w:t>
                        </w:r>
                        <w:r w:rsidRPr="00B07E61">
                          <w:rPr>
                            <w:rFonts w:ascii="Verdana" w:eastAsia="Times New Roman" w:hAnsi="Verdana" w:cs="Times New Roman"/>
                            <w:sz w:val="15"/>
                            <w:szCs w:val="15"/>
                            <w:lang w:eastAsia="it-IT"/>
                          </w:rPr>
                          <w:br/>
                        </w:r>
                        <w:bookmarkStart w:id="7" w:name="sdfootnote2sym"/>
                        <w:r w:rsidR="00D44C83" w:rsidRPr="00B07E61">
                          <w:rPr>
                            <w:rFonts w:ascii="Verdana" w:eastAsia="Times New Roman" w:hAnsi="Verdana" w:cs="Times New Roman"/>
                            <w:sz w:val="15"/>
                            <w:szCs w:val="15"/>
                            <w:lang w:eastAsia="it-IT"/>
                          </w:rPr>
                          <w:fldChar w:fldCharType="begin"/>
                        </w:r>
                        <w:r w:rsidRPr="00B07E61">
                          <w:rPr>
                            <w:rFonts w:ascii="Verdana" w:eastAsia="Times New Roman" w:hAnsi="Verdana" w:cs="Times New Roman"/>
                            <w:sz w:val="15"/>
                            <w:szCs w:val="15"/>
                            <w:lang w:eastAsia="it-IT"/>
                          </w:rPr>
                          <w:instrText xml:space="preserve"> HYPERLINK "file:///E:\\iura\\d_cuneiformi\\edit\\index.html" \l "sdfootnote2anc" </w:instrText>
                        </w:r>
                        <w:r w:rsidR="00D44C83" w:rsidRPr="00B07E61">
                          <w:rPr>
                            <w:rFonts w:ascii="Verdana" w:eastAsia="Times New Roman" w:hAnsi="Verdana" w:cs="Times New Roman"/>
                            <w:sz w:val="15"/>
                            <w:szCs w:val="15"/>
                            <w:lang w:eastAsia="it-IT"/>
                          </w:rPr>
                          <w:fldChar w:fldCharType="separate"/>
                        </w:r>
                        <w:r w:rsidRPr="00B07E61">
                          <w:rPr>
                            <w:rFonts w:ascii="Verdana" w:eastAsia="Times New Roman" w:hAnsi="Verdana" w:cs="Times New Roman"/>
                            <w:color w:val="0000FF"/>
                            <w:sz w:val="15"/>
                            <w:u w:val="single"/>
                            <w:lang w:eastAsia="it-IT"/>
                          </w:rPr>
                          <w:t>2</w:t>
                        </w:r>
                        <w:r w:rsidR="00D44C83" w:rsidRPr="00B07E61">
                          <w:rPr>
                            <w:rFonts w:ascii="Verdana" w:eastAsia="Times New Roman" w:hAnsi="Verdana" w:cs="Times New Roman"/>
                            <w:sz w:val="15"/>
                            <w:szCs w:val="15"/>
                            <w:lang w:eastAsia="it-IT"/>
                          </w:rPr>
                          <w:fldChar w:fldCharType="end"/>
                        </w:r>
                        <w:bookmarkEnd w:id="7"/>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Schmandt-Besserat</w:t>
                        </w:r>
                        <w:proofErr w:type="spellEnd"/>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i/>
                            <w:iCs/>
                            <w:sz w:val="15"/>
                            <w:szCs w:val="15"/>
                            <w:lang w:eastAsia="it-IT"/>
                          </w:rPr>
                          <w:t>How</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writing</w:t>
                        </w:r>
                        <w:proofErr w:type="spellEnd"/>
                        <w:r w:rsidRPr="00B07E61">
                          <w:rPr>
                            <w:rFonts w:ascii="Verdana" w:eastAsia="Times New Roman" w:hAnsi="Verdana" w:cs="Times New Roman"/>
                            <w:i/>
                            <w:iCs/>
                            <w:sz w:val="15"/>
                            <w:szCs w:val="15"/>
                            <w:lang w:eastAsia="it-IT"/>
                          </w:rPr>
                          <w:t xml:space="preserve"> come </w:t>
                        </w:r>
                        <w:proofErr w:type="spellStart"/>
                        <w:r w:rsidRPr="00B07E61">
                          <w:rPr>
                            <w:rFonts w:ascii="Verdana" w:eastAsia="Times New Roman" w:hAnsi="Verdana" w:cs="Times New Roman"/>
                            <w:i/>
                            <w:iCs/>
                            <w:sz w:val="15"/>
                            <w:szCs w:val="15"/>
                            <w:lang w:eastAsia="it-IT"/>
                          </w:rPr>
                          <w:t>about</w:t>
                        </w:r>
                        <w:proofErr w:type="spellEnd"/>
                        <w:r w:rsidRPr="00B07E61">
                          <w:rPr>
                            <w:rFonts w:ascii="Verdana" w:eastAsia="Times New Roman" w:hAnsi="Verdana" w:cs="Times New Roman"/>
                            <w:sz w:val="15"/>
                            <w:szCs w:val="15"/>
                            <w:lang w:eastAsia="it-IT"/>
                          </w:rPr>
                          <w:t xml:space="preserve">, Austin, 1996. </w:t>
                        </w:r>
                        <w:r w:rsidRPr="00B07E61">
                          <w:rPr>
                            <w:rFonts w:ascii="Verdana" w:eastAsia="Times New Roman" w:hAnsi="Verdana" w:cs="Times New Roman"/>
                            <w:sz w:val="15"/>
                            <w:szCs w:val="15"/>
                            <w:lang w:eastAsia="it-IT"/>
                          </w:rPr>
                          <w:br/>
                        </w:r>
                        <w:bookmarkStart w:id="8" w:name="sdfootnote3sym"/>
                        <w:r w:rsidR="00D44C83" w:rsidRPr="00B07E61">
                          <w:rPr>
                            <w:rFonts w:ascii="Verdana" w:eastAsia="Times New Roman" w:hAnsi="Verdana" w:cs="Times New Roman"/>
                            <w:sz w:val="15"/>
                            <w:szCs w:val="15"/>
                            <w:lang w:eastAsia="it-IT"/>
                          </w:rPr>
                          <w:fldChar w:fldCharType="begin"/>
                        </w:r>
                        <w:r w:rsidRPr="00B07E61">
                          <w:rPr>
                            <w:rFonts w:ascii="Verdana" w:eastAsia="Times New Roman" w:hAnsi="Verdana" w:cs="Times New Roman"/>
                            <w:sz w:val="15"/>
                            <w:szCs w:val="15"/>
                            <w:lang w:eastAsia="it-IT"/>
                          </w:rPr>
                          <w:instrText xml:space="preserve"> HYPERLINK "file:///E:\\iura\\d_cuneiformi\\edit\\index.html" \l "sdfootnote3anc" </w:instrText>
                        </w:r>
                        <w:r w:rsidR="00D44C83" w:rsidRPr="00B07E61">
                          <w:rPr>
                            <w:rFonts w:ascii="Verdana" w:eastAsia="Times New Roman" w:hAnsi="Verdana" w:cs="Times New Roman"/>
                            <w:sz w:val="15"/>
                            <w:szCs w:val="15"/>
                            <w:lang w:eastAsia="it-IT"/>
                          </w:rPr>
                          <w:fldChar w:fldCharType="separate"/>
                        </w:r>
                        <w:r w:rsidRPr="00B07E61">
                          <w:rPr>
                            <w:rFonts w:ascii="Verdana" w:eastAsia="Times New Roman" w:hAnsi="Verdana" w:cs="Times New Roman"/>
                            <w:color w:val="0000FF"/>
                            <w:sz w:val="15"/>
                            <w:u w:val="single"/>
                            <w:lang w:eastAsia="it-IT"/>
                          </w:rPr>
                          <w:t>3</w:t>
                        </w:r>
                        <w:r w:rsidR="00D44C83" w:rsidRPr="00B07E61">
                          <w:rPr>
                            <w:rFonts w:ascii="Verdana" w:eastAsia="Times New Roman" w:hAnsi="Verdana" w:cs="Times New Roman"/>
                            <w:sz w:val="15"/>
                            <w:szCs w:val="15"/>
                            <w:lang w:eastAsia="it-IT"/>
                          </w:rPr>
                          <w:fldChar w:fldCharType="end"/>
                        </w:r>
                        <w:bookmarkEnd w:id="8"/>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Ifrah</w:t>
                        </w:r>
                        <w:proofErr w:type="spellEnd"/>
                        <w:r w:rsidRPr="00B07E61">
                          <w:rPr>
                            <w:rFonts w:ascii="Verdana" w:eastAsia="Times New Roman" w:hAnsi="Verdana" w:cs="Times New Roman"/>
                            <w:sz w:val="15"/>
                            <w:szCs w:val="15"/>
                            <w:lang w:eastAsia="it-IT"/>
                          </w:rPr>
                          <w:t xml:space="preserve">, </w:t>
                        </w:r>
                        <w:r w:rsidRPr="00B07E61">
                          <w:rPr>
                            <w:rFonts w:ascii="Verdana" w:eastAsia="Times New Roman" w:hAnsi="Verdana" w:cs="Times New Roman"/>
                            <w:i/>
                            <w:iCs/>
                            <w:sz w:val="15"/>
                            <w:szCs w:val="15"/>
                            <w:lang w:eastAsia="it-IT"/>
                          </w:rPr>
                          <w:t>Storia universale dei numeri</w:t>
                        </w:r>
                        <w:r w:rsidRPr="00B07E61">
                          <w:rPr>
                            <w:rFonts w:ascii="Verdana" w:eastAsia="Times New Roman" w:hAnsi="Verdana" w:cs="Times New Roman"/>
                            <w:sz w:val="15"/>
                            <w:szCs w:val="15"/>
                            <w:lang w:eastAsia="it-IT"/>
                          </w:rPr>
                          <w:t xml:space="preserve">, Milano, 1989, pp. 121 ss.; </w:t>
                        </w:r>
                        <w:proofErr w:type="spellStart"/>
                        <w:r w:rsidRPr="00B07E61">
                          <w:rPr>
                            <w:rFonts w:ascii="Verdana" w:eastAsia="Times New Roman" w:hAnsi="Verdana" w:cs="Times New Roman"/>
                            <w:sz w:val="15"/>
                            <w:szCs w:val="15"/>
                            <w:lang w:eastAsia="it-IT"/>
                          </w:rPr>
                          <w:t>Cardona</w:t>
                        </w:r>
                        <w:proofErr w:type="spellEnd"/>
                        <w:r w:rsidRPr="00B07E61">
                          <w:rPr>
                            <w:rFonts w:ascii="Verdana" w:eastAsia="Times New Roman" w:hAnsi="Verdana" w:cs="Times New Roman"/>
                            <w:sz w:val="15"/>
                            <w:szCs w:val="15"/>
                            <w:lang w:eastAsia="it-IT"/>
                          </w:rPr>
                          <w:t xml:space="preserve">, </w:t>
                        </w:r>
                        <w:r w:rsidRPr="00B07E61">
                          <w:rPr>
                            <w:rFonts w:ascii="Verdana" w:eastAsia="Times New Roman" w:hAnsi="Verdana" w:cs="Times New Roman"/>
                            <w:i/>
                            <w:iCs/>
                            <w:sz w:val="15"/>
                            <w:szCs w:val="15"/>
                            <w:lang w:eastAsia="it-IT"/>
                          </w:rPr>
                          <w:t>Storia universale della scrittura</w:t>
                        </w:r>
                        <w:r w:rsidRPr="00B07E61">
                          <w:rPr>
                            <w:rFonts w:ascii="Verdana" w:eastAsia="Times New Roman" w:hAnsi="Verdana" w:cs="Times New Roman"/>
                            <w:sz w:val="15"/>
                            <w:szCs w:val="15"/>
                            <w:lang w:eastAsia="it-IT"/>
                          </w:rPr>
                          <w:t xml:space="preserve">, Milano, 1986, p. 52. Ivi a p. 288 l’ampia lett. sulle </w:t>
                        </w:r>
                        <w:proofErr w:type="spellStart"/>
                        <w:r w:rsidRPr="00B07E61">
                          <w:rPr>
                            <w:rFonts w:ascii="Verdana" w:eastAsia="Times New Roman" w:hAnsi="Verdana" w:cs="Times New Roman"/>
                            <w:i/>
                            <w:iCs/>
                            <w:sz w:val="15"/>
                            <w:szCs w:val="15"/>
                            <w:lang w:eastAsia="it-IT"/>
                          </w:rPr>
                          <w:t>bullae</w:t>
                        </w:r>
                        <w:proofErr w:type="spellEnd"/>
                        <w:r w:rsidRPr="00B07E61">
                          <w:rPr>
                            <w:rFonts w:ascii="Verdana" w:eastAsia="Times New Roman" w:hAnsi="Verdana" w:cs="Times New Roman"/>
                            <w:sz w:val="15"/>
                            <w:szCs w:val="15"/>
                            <w:lang w:eastAsia="it-IT"/>
                          </w:rPr>
                          <w:t xml:space="preserve">, sulle quali per ultimo v. </w:t>
                        </w:r>
                        <w:proofErr w:type="spellStart"/>
                        <w:r w:rsidRPr="00B07E61">
                          <w:rPr>
                            <w:rFonts w:ascii="Verdana" w:eastAsia="Times New Roman" w:hAnsi="Verdana" w:cs="Times New Roman"/>
                            <w:sz w:val="15"/>
                            <w:szCs w:val="15"/>
                            <w:lang w:eastAsia="it-IT"/>
                          </w:rPr>
                          <w:t>Schmandt</w:t>
                        </w:r>
                        <w:proofErr w:type="spellEnd"/>
                        <w:r w:rsidRPr="00B07E61">
                          <w:rPr>
                            <w:rFonts w:ascii="Verdana" w:eastAsia="Times New Roman" w:hAnsi="Verdana" w:cs="Times New Roman"/>
                            <w:sz w:val="15"/>
                            <w:szCs w:val="15"/>
                            <w:lang w:eastAsia="it-IT"/>
                          </w:rPr>
                          <w:t xml:space="preserve"> - </w:t>
                        </w:r>
                        <w:proofErr w:type="spellStart"/>
                        <w:r w:rsidRPr="00B07E61">
                          <w:rPr>
                            <w:rFonts w:ascii="Verdana" w:eastAsia="Times New Roman" w:hAnsi="Verdana" w:cs="Times New Roman"/>
                            <w:sz w:val="15"/>
                            <w:szCs w:val="15"/>
                            <w:lang w:eastAsia="it-IT"/>
                          </w:rPr>
                          <w:t>Besserat</w:t>
                        </w:r>
                        <w:proofErr w:type="spellEnd"/>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i/>
                            <w:iCs/>
                            <w:sz w:val="15"/>
                            <w:szCs w:val="15"/>
                            <w:lang w:eastAsia="it-IT"/>
                          </w:rPr>
                          <w:t>Before</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writing</w:t>
                        </w:r>
                        <w:proofErr w:type="spellEnd"/>
                        <w:r w:rsidRPr="00B07E61">
                          <w:rPr>
                            <w:rFonts w:ascii="Verdana" w:eastAsia="Times New Roman" w:hAnsi="Verdana" w:cs="Times New Roman"/>
                            <w:sz w:val="15"/>
                            <w:szCs w:val="15"/>
                            <w:lang w:eastAsia="it-IT"/>
                          </w:rPr>
                          <w:t xml:space="preserve">, I, Austin, 1992, pp. 167 ss. </w:t>
                        </w:r>
                        <w:r w:rsidRPr="00B07E61">
                          <w:rPr>
                            <w:rFonts w:ascii="Verdana" w:eastAsia="Times New Roman" w:hAnsi="Verdana" w:cs="Times New Roman"/>
                            <w:sz w:val="15"/>
                            <w:szCs w:val="15"/>
                            <w:lang w:eastAsia="it-IT"/>
                          </w:rPr>
                          <w:br/>
                        </w:r>
                        <w:bookmarkStart w:id="9" w:name="sdfootnote4sym"/>
                        <w:r w:rsidR="00D44C83" w:rsidRPr="00B07E61">
                          <w:rPr>
                            <w:rFonts w:ascii="Verdana" w:eastAsia="Times New Roman" w:hAnsi="Verdana" w:cs="Times New Roman"/>
                            <w:sz w:val="15"/>
                            <w:szCs w:val="15"/>
                            <w:lang w:eastAsia="it-IT"/>
                          </w:rPr>
                          <w:fldChar w:fldCharType="begin"/>
                        </w:r>
                        <w:r w:rsidRPr="00B07E61">
                          <w:rPr>
                            <w:rFonts w:ascii="Verdana" w:eastAsia="Times New Roman" w:hAnsi="Verdana" w:cs="Times New Roman"/>
                            <w:sz w:val="15"/>
                            <w:szCs w:val="15"/>
                            <w:lang w:eastAsia="it-IT"/>
                          </w:rPr>
                          <w:instrText xml:space="preserve"> HYPERLINK "file:///E:\\iura\\d_cuneiformi\\edit\\index.html" \l "sdfootnote4anc" </w:instrText>
                        </w:r>
                        <w:r w:rsidR="00D44C83" w:rsidRPr="00B07E61">
                          <w:rPr>
                            <w:rFonts w:ascii="Verdana" w:eastAsia="Times New Roman" w:hAnsi="Verdana" w:cs="Times New Roman"/>
                            <w:sz w:val="15"/>
                            <w:szCs w:val="15"/>
                            <w:lang w:eastAsia="it-IT"/>
                          </w:rPr>
                          <w:fldChar w:fldCharType="separate"/>
                        </w:r>
                        <w:r w:rsidRPr="00B07E61">
                          <w:rPr>
                            <w:rFonts w:ascii="Verdana" w:eastAsia="Times New Roman" w:hAnsi="Verdana" w:cs="Times New Roman"/>
                            <w:color w:val="0000FF"/>
                            <w:sz w:val="15"/>
                            <w:u w:val="single"/>
                            <w:lang w:eastAsia="it-IT"/>
                          </w:rPr>
                          <w:t>4</w:t>
                        </w:r>
                        <w:r w:rsidR="00D44C83" w:rsidRPr="00B07E61">
                          <w:rPr>
                            <w:rFonts w:ascii="Verdana" w:eastAsia="Times New Roman" w:hAnsi="Verdana" w:cs="Times New Roman"/>
                            <w:sz w:val="15"/>
                            <w:szCs w:val="15"/>
                            <w:lang w:eastAsia="it-IT"/>
                          </w:rPr>
                          <w:fldChar w:fldCharType="end"/>
                        </w:r>
                        <w:bookmarkEnd w:id="9"/>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Godart</w:t>
                        </w:r>
                        <w:proofErr w:type="spellEnd"/>
                        <w:r w:rsidRPr="00B07E61">
                          <w:rPr>
                            <w:rFonts w:ascii="Verdana" w:eastAsia="Times New Roman" w:hAnsi="Verdana" w:cs="Times New Roman"/>
                            <w:sz w:val="15"/>
                            <w:szCs w:val="15"/>
                            <w:lang w:eastAsia="it-IT"/>
                          </w:rPr>
                          <w:t>,</w:t>
                        </w:r>
                        <w:r w:rsidRPr="00B07E61">
                          <w:rPr>
                            <w:rFonts w:ascii="Verdana" w:eastAsia="Times New Roman" w:hAnsi="Verdana" w:cs="Times New Roman"/>
                            <w:i/>
                            <w:iCs/>
                            <w:sz w:val="15"/>
                            <w:szCs w:val="15"/>
                            <w:lang w:eastAsia="it-IT"/>
                          </w:rPr>
                          <w:t xml:space="preserve"> op cit.</w:t>
                        </w:r>
                        <w:r w:rsidRPr="00B07E61">
                          <w:rPr>
                            <w:rFonts w:ascii="Verdana" w:eastAsia="Times New Roman" w:hAnsi="Verdana" w:cs="Times New Roman"/>
                            <w:sz w:val="15"/>
                            <w:szCs w:val="15"/>
                            <w:lang w:eastAsia="it-IT"/>
                          </w:rPr>
                          <w:t xml:space="preserve">, pp.118 e s. </w:t>
                        </w:r>
                        <w:r w:rsidRPr="00B07E61">
                          <w:rPr>
                            <w:rFonts w:ascii="Verdana" w:eastAsia="Times New Roman" w:hAnsi="Verdana" w:cs="Times New Roman"/>
                            <w:sz w:val="15"/>
                            <w:szCs w:val="15"/>
                            <w:lang w:eastAsia="it-IT"/>
                          </w:rPr>
                          <w:br/>
                        </w:r>
                        <w:bookmarkStart w:id="10" w:name="sdfootnote5sym"/>
                        <w:r w:rsidR="00D44C83" w:rsidRPr="00B07E61">
                          <w:rPr>
                            <w:rFonts w:ascii="Verdana" w:eastAsia="Times New Roman" w:hAnsi="Verdana" w:cs="Times New Roman"/>
                            <w:sz w:val="15"/>
                            <w:szCs w:val="15"/>
                            <w:lang w:eastAsia="it-IT"/>
                          </w:rPr>
                          <w:fldChar w:fldCharType="begin"/>
                        </w:r>
                        <w:r w:rsidRPr="00B07E61">
                          <w:rPr>
                            <w:rFonts w:ascii="Verdana" w:eastAsia="Times New Roman" w:hAnsi="Verdana" w:cs="Times New Roman"/>
                            <w:sz w:val="15"/>
                            <w:szCs w:val="15"/>
                            <w:lang w:eastAsia="it-IT"/>
                          </w:rPr>
                          <w:instrText xml:space="preserve"> HYPERLINK "file:///E:\\iura\\d_cuneiformi\\edit\\index.html" \l "sdfootnote5anc" </w:instrText>
                        </w:r>
                        <w:r w:rsidR="00D44C83" w:rsidRPr="00B07E61">
                          <w:rPr>
                            <w:rFonts w:ascii="Verdana" w:eastAsia="Times New Roman" w:hAnsi="Verdana" w:cs="Times New Roman"/>
                            <w:sz w:val="15"/>
                            <w:szCs w:val="15"/>
                            <w:lang w:eastAsia="it-IT"/>
                          </w:rPr>
                          <w:fldChar w:fldCharType="separate"/>
                        </w:r>
                        <w:r w:rsidRPr="00B07E61">
                          <w:rPr>
                            <w:rFonts w:ascii="Verdana" w:eastAsia="Times New Roman" w:hAnsi="Verdana" w:cs="Times New Roman"/>
                            <w:color w:val="0000FF"/>
                            <w:sz w:val="15"/>
                            <w:u w:val="single"/>
                            <w:lang w:eastAsia="it-IT"/>
                          </w:rPr>
                          <w:t>5</w:t>
                        </w:r>
                        <w:r w:rsidR="00D44C83" w:rsidRPr="00B07E61">
                          <w:rPr>
                            <w:rFonts w:ascii="Verdana" w:eastAsia="Times New Roman" w:hAnsi="Verdana" w:cs="Times New Roman"/>
                            <w:sz w:val="15"/>
                            <w:szCs w:val="15"/>
                            <w:lang w:eastAsia="it-IT"/>
                          </w:rPr>
                          <w:fldChar w:fldCharType="end"/>
                        </w:r>
                        <w:bookmarkEnd w:id="10"/>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André-Salvini</w:t>
                        </w:r>
                        <w:proofErr w:type="spellEnd"/>
                        <w:r w:rsidRPr="00B07E61">
                          <w:rPr>
                            <w:rFonts w:ascii="Verdana" w:eastAsia="Times New Roman" w:hAnsi="Verdana" w:cs="Times New Roman"/>
                            <w:sz w:val="15"/>
                            <w:szCs w:val="15"/>
                            <w:lang w:eastAsia="it-IT"/>
                          </w:rPr>
                          <w:t>,</w:t>
                        </w:r>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Les</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tablettes</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du</w:t>
                        </w:r>
                        <w:proofErr w:type="spellEnd"/>
                        <w:r w:rsidRPr="00B07E61">
                          <w:rPr>
                            <w:rFonts w:ascii="Verdana" w:eastAsia="Times New Roman" w:hAnsi="Verdana" w:cs="Times New Roman"/>
                            <w:i/>
                            <w:iCs/>
                            <w:sz w:val="15"/>
                            <w:szCs w:val="15"/>
                            <w:lang w:eastAsia="it-IT"/>
                          </w:rPr>
                          <w:t xml:space="preserve"> monde cunéiforme</w:t>
                        </w:r>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Les</w:t>
                        </w:r>
                        <w:proofErr w:type="spellEnd"/>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tablettes</w:t>
                        </w:r>
                        <w:proofErr w:type="spellEnd"/>
                        <w:r w:rsidRPr="00B07E61">
                          <w:rPr>
                            <w:rFonts w:ascii="Verdana" w:eastAsia="Times New Roman" w:hAnsi="Verdana" w:cs="Times New Roman"/>
                            <w:sz w:val="15"/>
                            <w:szCs w:val="15"/>
                            <w:lang w:eastAsia="it-IT"/>
                          </w:rPr>
                          <w:t xml:space="preserve"> á </w:t>
                        </w:r>
                        <w:proofErr w:type="spellStart"/>
                        <w:r w:rsidRPr="00B07E61">
                          <w:rPr>
                            <w:rFonts w:ascii="Verdana" w:eastAsia="Times New Roman" w:hAnsi="Verdana" w:cs="Times New Roman"/>
                            <w:sz w:val="15"/>
                            <w:szCs w:val="15"/>
                            <w:lang w:eastAsia="it-IT"/>
                          </w:rPr>
                          <w:t>écrire</w:t>
                        </w:r>
                        <w:proofErr w:type="spellEnd"/>
                        <w:r w:rsidRPr="00B07E61">
                          <w:rPr>
                            <w:rFonts w:ascii="Verdana" w:eastAsia="Times New Roman" w:hAnsi="Verdana" w:cs="Times New Roman"/>
                            <w:sz w:val="15"/>
                            <w:szCs w:val="15"/>
                            <w:lang w:eastAsia="it-IT"/>
                          </w:rPr>
                          <w:t xml:space="preserve"> de l'</w:t>
                        </w:r>
                        <w:proofErr w:type="spellStart"/>
                        <w:r w:rsidRPr="00B07E61">
                          <w:rPr>
                            <w:rFonts w:ascii="Verdana" w:eastAsia="Times New Roman" w:hAnsi="Verdana" w:cs="Times New Roman"/>
                            <w:sz w:val="15"/>
                            <w:szCs w:val="15"/>
                            <w:lang w:eastAsia="it-IT"/>
                          </w:rPr>
                          <w:t>antiquité</w:t>
                        </w:r>
                        <w:proofErr w:type="spellEnd"/>
                        <w:r w:rsidRPr="00B07E61">
                          <w:rPr>
                            <w:rFonts w:ascii="Verdana" w:eastAsia="Times New Roman" w:hAnsi="Verdana" w:cs="Times New Roman"/>
                            <w:sz w:val="15"/>
                            <w:szCs w:val="15"/>
                            <w:lang w:eastAsia="it-IT"/>
                          </w:rPr>
                          <w:t xml:space="preserve"> á l’époque moderne, </w:t>
                        </w:r>
                        <w:proofErr w:type="spellStart"/>
                        <w:r w:rsidRPr="00B07E61">
                          <w:rPr>
                            <w:rFonts w:ascii="Verdana" w:eastAsia="Times New Roman" w:hAnsi="Verdana" w:cs="Times New Roman"/>
                            <w:sz w:val="15"/>
                            <w:szCs w:val="15"/>
                            <w:lang w:eastAsia="it-IT"/>
                          </w:rPr>
                          <w:t>Actes</w:t>
                        </w:r>
                        <w:proofErr w:type="spellEnd"/>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du</w:t>
                        </w:r>
                        <w:proofErr w:type="spellEnd"/>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Colloque</w:t>
                        </w:r>
                        <w:proofErr w:type="spellEnd"/>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intern</w:t>
                        </w:r>
                        <w:proofErr w:type="spellEnd"/>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du</w:t>
                        </w:r>
                        <w:proofErr w:type="spellEnd"/>
                        <w:r w:rsidRPr="00B07E61">
                          <w:rPr>
                            <w:rFonts w:ascii="Verdana" w:eastAsia="Times New Roman" w:hAnsi="Verdana" w:cs="Times New Roman"/>
                            <w:sz w:val="15"/>
                            <w:szCs w:val="15"/>
                            <w:lang w:eastAsia="it-IT"/>
                          </w:rPr>
                          <w:t xml:space="preserve"> CNRS (</w:t>
                        </w:r>
                        <w:proofErr w:type="spellStart"/>
                        <w:r w:rsidRPr="00B07E61">
                          <w:rPr>
                            <w:rFonts w:ascii="Verdana" w:eastAsia="Times New Roman" w:hAnsi="Verdana" w:cs="Times New Roman"/>
                            <w:sz w:val="15"/>
                            <w:szCs w:val="15"/>
                            <w:lang w:eastAsia="it-IT"/>
                          </w:rPr>
                          <w:t>Paris</w:t>
                        </w:r>
                        <w:proofErr w:type="spellEnd"/>
                        <w:r w:rsidRPr="00B07E61">
                          <w:rPr>
                            <w:rFonts w:ascii="Verdana" w:eastAsia="Times New Roman" w:hAnsi="Verdana" w:cs="Times New Roman"/>
                            <w:sz w:val="15"/>
                            <w:szCs w:val="15"/>
                            <w:lang w:eastAsia="it-IT"/>
                          </w:rPr>
                          <w:t xml:space="preserve">, 1990), </w:t>
                        </w:r>
                        <w:proofErr w:type="spellStart"/>
                        <w:r w:rsidRPr="00B07E61">
                          <w:rPr>
                            <w:rFonts w:ascii="Verdana" w:eastAsia="Times New Roman" w:hAnsi="Verdana" w:cs="Times New Roman"/>
                            <w:sz w:val="15"/>
                            <w:szCs w:val="15"/>
                            <w:lang w:eastAsia="it-IT"/>
                          </w:rPr>
                          <w:t>Brepols</w:t>
                        </w:r>
                        <w:proofErr w:type="spellEnd"/>
                        <w:r w:rsidRPr="00B07E61">
                          <w:rPr>
                            <w:rFonts w:ascii="Verdana" w:eastAsia="Times New Roman" w:hAnsi="Verdana" w:cs="Times New Roman"/>
                            <w:sz w:val="15"/>
                            <w:szCs w:val="15"/>
                            <w:lang w:eastAsia="it-IT"/>
                          </w:rPr>
                          <w:t xml:space="preserve"> - </w:t>
                        </w:r>
                        <w:proofErr w:type="spellStart"/>
                        <w:r w:rsidRPr="00B07E61">
                          <w:rPr>
                            <w:rFonts w:ascii="Verdana" w:eastAsia="Times New Roman" w:hAnsi="Verdana" w:cs="Times New Roman"/>
                            <w:sz w:val="15"/>
                            <w:szCs w:val="15"/>
                            <w:lang w:eastAsia="it-IT"/>
                          </w:rPr>
                          <w:t>Turnhout</w:t>
                        </w:r>
                        <w:proofErr w:type="spellEnd"/>
                        <w:r w:rsidRPr="00B07E61">
                          <w:rPr>
                            <w:rFonts w:ascii="Verdana" w:eastAsia="Times New Roman" w:hAnsi="Verdana" w:cs="Times New Roman"/>
                            <w:sz w:val="15"/>
                            <w:szCs w:val="15"/>
                            <w:lang w:eastAsia="it-IT"/>
                          </w:rPr>
                          <w:t xml:space="preserve">, 1992, p. 17 e fig. 5. </w:t>
                        </w:r>
                        <w:r w:rsidRPr="00B07E61">
                          <w:rPr>
                            <w:rFonts w:ascii="Verdana" w:eastAsia="Times New Roman" w:hAnsi="Verdana" w:cs="Times New Roman"/>
                            <w:sz w:val="15"/>
                            <w:szCs w:val="15"/>
                            <w:lang w:eastAsia="it-IT"/>
                          </w:rPr>
                          <w:br/>
                        </w:r>
                        <w:bookmarkStart w:id="11" w:name="sdfootnote6sym"/>
                        <w:r w:rsidR="00D44C83" w:rsidRPr="00B07E61">
                          <w:rPr>
                            <w:rFonts w:ascii="Verdana" w:eastAsia="Times New Roman" w:hAnsi="Verdana" w:cs="Times New Roman"/>
                            <w:sz w:val="15"/>
                            <w:szCs w:val="15"/>
                            <w:lang w:eastAsia="it-IT"/>
                          </w:rPr>
                          <w:fldChar w:fldCharType="begin"/>
                        </w:r>
                        <w:r w:rsidRPr="00B07E61">
                          <w:rPr>
                            <w:rFonts w:ascii="Verdana" w:eastAsia="Times New Roman" w:hAnsi="Verdana" w:cs="Times New Roman"/>
                            <w:sz w:val="15"/>
                            <w:szCs w:val="15"/>
                            <w:lang w:eastAsia="it-IT"/>
                          </w:rPr>
                          <w:instrText xml:space="preserve"> HYPERLINK "file:///E:\\iura\\d_cuneiformi\\edit\\index.html" \l "sdfootnote6anc" </w:instrText>
                        </w:r>
                        <w:r w:rsidR="00D44C83" w:rsidRPr="00B07E61">
                          <w:rPr>
                            <w:rFonts w:ascii="Verdana" w:eastAsia="Times New Roman" w:hAnsi="Verdana" w:cs="Times New Roman"/>
                            <w:sz w:val="15"/>
                            <w:szCs w:val="15"/>
                            <w:lang w:eastAsia="it-IT"/>
                          </w:rPr>
                          <w:fldChar w:fldCharType="separate"/>
                        </w:r>
                        <w:r w:rsidRPr="00B07E61">
                          <w:rPr>
                            <w:rFonts w:ascii="Verdana" w:eastAsia="Times New Roman" w:hAnsi="Verdana" w:cs="Times New Roman"/>
                            <w:color w:val="0000FF"/>
                            <w:sz w:val="15"/>
                            <w:u w:val="single"/>
                            <w:lang w:eastAsia="it-IT"/>
                          </w:rPr>
                          <w:t>6</w:t>
                        </w:r>
                        <w:r w:rsidR="00D44C83" w:rsidRPr="00B07E61">
                          <w:rPr>
                            <w:rFonts w:ascii="Verdana" w:eastAsia="Times New Roman" w:hAnsi="Verdana" w:cs="Times New Roman"/>
                            <w:sz w:val="15"/>
                            <w:szCs w:val="15"/>
                            <w:lang w:eastAsia="it-IT"/>
                          </w:rPr>
                          <w:fldChar w:fldCharType="end"/>
                        </w:r>
                        <w:bookmarkEnd w:id="11"/>
                        <w:r w:rsidRPr="00B07E61">
                          <w:rPr>
                            <w:rFonts w:ascii="Verdana" w:eastAsia="Times New Roman" w:hAnsi="Verdana" w:cs="Times New Roman"/>
                            <w:sz w:val="15"/>
                            <w:szCs w:val="15"/>
                            <w:lang w:eastAsia="it-IT"/>
                          </w:rPr>
                          <w:t xml:space="preserve"> Preferisce non pronunziarsi sull’ipotesi di un origine orientale del fenomeno documentale </w:t>
                        </w:r>
                        <w:proofErr w:type="spellStart"/>
                        <w:r w:rsidRPr="00B07E61">
                          <w:rPr>
                            <w:rFonts w:ascii="Verdana" w:eastAsia="Times New Roman" w:hAnsi="Verdana" w:cs="Times New Roman"/>
                            <w:sz w:val="15"/>
                            <w:szCs w:val="15"/>
                            <w:lang w:eastAsia="it-IT"/>
                          </w:rPr>
                          <w:t>Migliardi</w:t>
                        </w:r>
                        <w:proofErr w:type="spellEnd"/>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Zingale</w:t>
                        </w:r>
                        <w:proofErr w:type="spellEnd"/>
                        <w:r w:rsidRPr="00B07E61">
                          <w:rPr>
                            <w:rFonts w:ascii="Verdana" w:eastAsia="Times New Roman" w:hAnsi="Verdana" w:cs="Times New Roman"/>
                            <w:sz w:val="15"/>
                            <w:szCs w:val="15"/>
                            <w:lang w:eastAsia="it-IT"/>
                          </w:rPr>
                          <w:t xml:space="preserve"> in </w:t>
                        </w:r>
                        <w:proofErr w:type="spellStart"/>
                        <w:r w:rsidRPr="00B07E61">
                          <w:rPr>
                            <w:rFonts w:ascii="Verdana" w:eastAsia="Times New Roman" w:hAnsi="Verdana" w:cs="Times New Roman"/>
                            <w:sz w:val="15"/>
                            <w:szCs w:val="15"/>
                            <w:lang w:eastAsia="it-IT"/>
                          </w:rPr>
                          <w:t>Amelotti</w:t>
                        </w:r>
                        <w:proofErr w:type="spellEnd"/>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Migliardi</w:t>
                        </w:r>
                        <w:proofErr w:type="spellEnd"/>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Zingale</w:t>
                        </w:r>
                        <w:proofErr w:type="spellEnd"/>
                        <w:r w:rsidRPr="00B07E61">
                          <w:rPr>
                            <w:rFonts w:ascii="Verdana" w:eastAsia="Times New Roman" w:hAnsi="Verdana" w:cs="Times New Roman"/>
                            <w:sz w:val="15"/>
                            <w:szCs w:val="15"/>
                            <w:lang w:eastAsia="it-IT"/>
                          </w:rPr>
                          <w:t xml:space="preserve">, </w:t>
                        </w:r>
                        <w:r w:rsidRPr="00B07E61">
                          <w:rPr>
                            <w:rFonts w:ascii="Verdana" w:eastAsia="Times New Roman" w:hAnsi="Verdana" w:cs="Times New Roman"/>
                            <w:i/>
                            <w:iCs/>
                            <w:sz w:val="15"/>
                            <w:szCs w:val="15"/>
                            <w:lang w:eastAsia="it-IT"/>
                          </w:rPr>
                          <w:t>Osservazioni sulla duplice scritturazione nei documenti</w:t>
                        </w:r>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Symposion</w:t>
                        </w:r>
                        <w:proofErr w:type="spellEnd"/>
                        <w:r w:rsidRPr="00B07E61">
                          <w:rPr>
                            <w:rFonts w:ascii="Verdana" w:eastAsia="Times New Roman" w:hAnsi="Verdana" w:cs="Times New Roman"/>
                            <w:sz w:val="15"/>
                            <w:szCs w:val="15"/>
                            <w:lang w:eastAsia="it-IT"/>
                          </w:rPr>
                          <w:t xml:space="preserve">, 1985, p. 301 nt. 5, </w:t>
                        </w:r>
                        <w:proofErr w:type="spellStart"/>
                        <w:r w:rsidRPr="00B07E61">
                          <w:rPr>
                            <w:rFonts w:ascii="Verdana" w:eastAsia="Times New Roman" w:hAnsi="Verdana" w:cs="Times New Roman"/>
                            <w:sz w:val="15"/>
                            <w:szCs w:val="15"/>
                            <w:lang w:eastAsia="it-IT"/>
                          </w:rPr>
                          <w:t>poichè</w:t>
                        </w:r>
                        <w:proofErr w:type="spellEnd"/>
                        <w:r w:rsidRPr="00B07E61">
                          <w:rPr>
                            <w:rFonts w:ascii="Verdana" w:eastAsia="Times New Roman" w:hAnsi="Verdana" w:cs="Times New Roman"/>
                            <w:sz w:val="15"/>
                            <w:szCs w:val="15"/>
                            <w:lang w:eastAsia="it-IT"/>
                          </w:rPr>
                          <w:t xml:space="preserve"> sarebbe “difficile provare una recezione diretta nel mondo greco”. Cfr. anche </w:t>
                        </w:r>
                        <w:proofErr w:type="spellStart"/>
                        <w:r w:rsidRPr="00B07E61">
                          <w:rPr>
                            <w:rFonts w:ascii="Verdana" w:eastAsia="Times New Roman" w:hAnsi="Verdana" w:cs="Times New Roman"/>
                            <w:sz w:val="15"/>
                            <w:szCs w:val="15"/>
                            <w:lang w:eastAsia="it-IT"/>
                          </w:rPr>
                          <w:t>Wolff</w:t>
                        </w:r>
                        <w:proofErr w:type="spellEnd"/>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i/>
                            <w:iCs/>
                            <w:sz w:val="15"/>
                            <w:szCs w:val="15"/>
                            <w:lang w:eastAsia="it-IT"/>
                          </w:rPr>
                          <w:t>Das</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Recht</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der</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griechischen</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Papyri</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Ägyptens</w:t>
                        </w:r>
                        <w:proofErr w:type="spellEnd"/>
                        <w:r w:rsidRPr="00B07E61">
                          <w:rPr>
                            <w:rFonts w:ascii="Verdana" w:eastAsia="Times New Roman" w:hAnsi="Verdana" w:cs="Times New Roman"/>
                            <w:i/>
                            <w:iCs/>
                            <w:sz w:val="15"/>
                            <w:szCs w:val="15"/>
                            <w:lang w:eastAsia="it-IT"/>
                          </w:rPr>
                          <w:t xml:space="preserve"> in </w:t>
                        </w:r>
                        <w:proofErr w:type="spellStart"/>
                        <w:r w:rsidRPr="00B07E61">
                          <w:rPr>
                            <w:rFonts w:ascii="Verdana" w:eastAsia="Times New Roman" w:hAnsi="Verdana" w:cs="Times New Roman"/>
                            <w:i/>
                            <w:iCs/>
                            <w:sz w:val="15"/>
                            <w:szCs w:val="15"/>
                            <w:lang w:eastAsia="it-IT"/>
                          </w:rPr>
                          <w:t>der</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Zeit</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der</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Ptolemäer</w:t>
                        </w:r>
                        <w:proofErr w:type="spellEnd"/>
                        <w:r w:rsidRPr="00B07E61">
                          <w:rPr>
                            <w:rFonts w:ascii="Verdana" w:eastAsia="Times New Roman" w:hAnsi="Verdana" w:cs="Times New Roman"/>
                            <w:i/>
                            <w:iCs/>
                            <w:sz w:val="15"/>
                            <w:szCs w:val="15"/>
                            <w:lang w:eastAsia="it-IT"/>
                          </w:rPr>
                          <w:t xml:space="preserve"> und </w:t>
                        </w:r>
                        <w:proofErr w:type="spellStart"/>
                        <w:r w:rsidRPr="00B07E61">
                          <w:rPr>
                            <w:rFonts w:ascii="Verdana" w:eastAsia="Times New Roman" w:hAnsi="Verdana" w:cs="Times New Roman"/>
                            <w:i/>
                            <w:iCs/>
                            <w:sz w:val="15"/>
                            <w:szCs w:val="15"/>
                            <w:lang w:eastAsia="it-IT"/>
                          </w:rPr>
                          <w:t>des</w:t>
                        </w:r>
                        <w:proofErr w:type="spellEnd"/>
                        <w:r w:rsidRPr="00B07E61">
                          <w:rPr>
                            <w:rFonts w:ascii="Verdana" w:eastAsia="Times New Roman" w:hAnsi="Verdana" w:cs="Times New Roman"/>
                            <w:i/>
                            <w:iCs/>
                            <w:sz w:val="15"/>
                            <w:szCs w:val="15"/>
                            <w:lang w:eastAsia="it-IT"/>
                          </w:rPr>
                          <w:t xml:space="preserve"> </w:t>
                        </w:r>
                        <w:proofErr w:type="spellStart"/>
                        <w:r w:rsidRPr="00B07E61">
                          <w:rPr>
                            <w:rFonts w:ascii="Verdana" w:eastAsia="Times New Roman" w:hAnsi="Verdana" w:cs="Times New Roman"/>
                            <w:i/>
                            <w:iCs/>
                            <w:sz w:val="15"/>
                            <w:szCs w:val="15"/>
                            <w:lang w:eastAsia="it-IT"/>
                          </w:rPr>
                          <w:t>Prinzipats</w:t>
                        </w:r>
                        <w:proofErr w:type="spellEnd"/>
                        <w:r w:rsidRPr="00B07E61">
                          <w:rPr>
                            <w:rFonts w:ascii="Verdana" w:eastAsia="Times New Roman" w:hAnsi="Verdana" w:cs="Times New Roman"/>
                            <w:sz w:val="15"/>
                            <w:szCs w:val="15"/>
                            <w:lang w:eastAsia="it-IT"/>
                          </w:rPr>
                          <w:t xml:space="preserve">, II, </w:t>
                        </w:r>
                        <w:proofErr w:type="spellStart"/>
                        <w:r w:rsidRPr="00B07E61">
                          <w:rPr>
                            <w:rFonts w:ascii="Verdana" w:eastAsia="Times New Roman" w:hAnsi="Verdana" w:cs="Times New Roman"/>
                            <w:sz w:val="15"/>
                            <w:szCs w:val="15"/>
                            <w:lang w:eastAsia="it-IT"/>
                          </w:rPr>
                          <w:t>München</w:t>
                        </w:r>
                        <w:proofErr w:type="spellEnd"/>
                        <w:r w:rsidRPr="00B07E61">
                          <w:rPr>
                            <w:rFonts w:ascii="Verdana" w:eastAsia="Times New Roman" w:hAnsi="Verdana" w:cs="Times New Roman"/>
                            <w:sz w:val="15"/>
                            <w:szCs w:val="15"/>
                            <w:lang w:eastAsia="it-IT"/>
                          </w:rPr>
                          <w:t xml:space="preserve">, 1978, p. 63; Zuccotti, </w:t>
                        </w:r>
                        <w:proofErr w:type="spellStart"/>
                        <w:r w:rsidRPr="00B07E61">
                          <w:rPr>
                            <w:rFonts w:ascii="Verdana" w:eastAsia="Times New Roman" w:hAnsi="Verdana" w:cs="Times New Roman"/>
                            <w:sz w:val="15"/>
                            <w:szCs w:val="15"/>
                            <w:lang w:eastAsia="it-IT"/>
                          </w:rPr>
                          <w:t>Symbolon</w:t>
                        </w:r>
                        <w:proofErr w:type="spellEnd"/>
                        <w:r w:rsidRPr="00B07E61">
                          <w:rPr>
                            <w:rFonts w:ascii="Verdana" w:eastAsia="Times New Roman" w:hAnsi="Verdana" w:cs="Times New Roman"/>
                            <w:sz w:val="15"/>
                            <w:szCs w:val="15"/>
                            <w:lang w:eastAsia="it-IT"/>
                          </w:rPr>
                          <w:t xml:space="preserve"> </w:t>
                        </w:r>
                        <w:r w:rsidRPr="00B07E61">
                          <w:rPr>
                            <w:rFonts w:ascii="Verdana" w:eastAsia="Times New Roman" w:hAnsi="Verdana" w:cs="Times New Roman"/>
                            <w:i/>
                            <w:iCs/>
                            <w:sz w:val="15"/>
                            <w:szCs w:val="15"/>
                            <w:lang w:eastAsia="it-IT"/>
                          </w:rPr>
                          <w:t xml:space="preserve">e </w:t>
                        </w:r>
                        <w:proofErr w:type="spellStart"/>
                        <w:r w:rsidRPr="00B07E61">
                          <w:rPr>
                            <w:rFonts w:ascii="Verdana" w:eastAsia="Times New Roman" w:hAnsi="Verdana" w:cs="Times New Roman"/>
                            <w:sz w:val="15"/>
                            <w:szCs w:val="15"/>
                            <w:lang w:eastAsia="it-IT"/>
                          </w:rPr>
                          <w:t>stipulatio</w:t>
                        </w:r>
                        <w:proofErr w:type="spellEnd"/>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Testimonium</w:t>
                        </w:r>
                        <w:proofErr w:type="spellEnd"/>
                        <w:r w:rsidRPr="00B07E61">
                          <w:rPr>
                            <w:rFonts w:ascii="Verdana" w:eastAsia="Times New Roman" w:hAnsi="Verdana" w:cs="Times New Roman"/>
                            <w:sz w:val="15"/>
                            <w:szCs w:val="15"/>
                            <w:lang w:eastAsia="it-IT"/>
                          </w:rPr>
                          <w:t xml:space="preserve"> </w:t>
                        </w:r>
                        <w:proofErr w:type="spellStart"/>
                        <w:r w:rsidRPr="00B07E61">
                          <w:rPr>
                            <w:rFonts w:ascii="Verdana" w:eastAsia="Times New Roman" w:hAnsi="Verdana" w:cs="Times New Roman"/>
                            <w:sz w:val="15"/>
                            <w:szCs w:val="15"/>
                            <w:lang w:eastAsia="it-IT"/>
                          </w:rPr>
                          <w:t>amicitiae</w:t>
                        </w:r>
                        <w:proofErr w:type="spellEnd"/>
                        <w:r w:rsidRPr="00B07E61">
                          <w:rPr>
                            <w:rFonts w:ascii="Verdana" w:eastAsia="Times New Roman" w:hAnsi="Verdana" w:cs="Times New Roman"/>
                            <w:sz w:val="15"/>
                            <w:szCs w:val="15"/>
                            <w:lang w:eastAsia="it-IT"/>
                          </w:rPr>
                          <w:t xml:space="preserve">, Milano, 1992, p. 334. Ma l’esigenza di garanzia dell’autenticità del testo risolta ricorrendo al medesimo accorgimento è indiscutibilmente identica nelle due diverse pratiche. </w:t>
                        </w:r>
                        <w:r w:rsidRPr="00B07E61">
                          <w:rPr>
                            <w:rFonts w:ascii="Verdana" w:eastAsia="Times New Roman" w:hAnsi="Verdana" w:cs="Times New Roman"/>
                            <w:sz w:val="15"/>
                            <w:szCs w:val="15"/>
                            <w:lang w:val="en-US" w:eastAsia="it-IT"/>
                          </w:rPr>
                          <w:t xml:space="preserve">V. </w:t>
                        </w:r>
                        <w:proofErr w:type="spellStart"/>
                        <w:r w:rsidRPr="00B07E61">
                          <w:rPr>
                            <w:rFonts w:ascii="Verdana" w:eastAsia="Times New Roman" w:hAnsi="Verdana" w:cs="Times New Roman"/>
                            <w:sz w:val="15"/>
                            <w:szCs w:val="15"/>
                            <w:lang w:val="en-US" w:eastAsia="it-IT"/>
                          </w:rPr>
                          <w:t>Lévy</w:t>
                        </w:r>
                        <w:proofErr w:type="spellEnd"/>
                        <w:r w:rsidRPr="00B07E61">
                          <w:rPr>
                            <w:rFonts w:ascii="Verdana" w:eastAsia="Times New Roman" w:hAnsi="Verdana" w:cs="Times New Roman"/>
                            <w:sz w:val="15"/>
                            <w:szCs w:val="15"/>
                            <w:lang w:val="en-US" w:eastAsia="it-IT"/>
                          </w:rPr>
                          <w:t xml:space="preserve"> J. Ph.,</w:t>
                        </w:r>
                        <w:r w:rsidRPr="00B07E61">
                          <w:rPr>
                            <w:rFonts w:ascii="Verdana" w:eastAsia="Times New Roman" w:hAnsi="Verdana" w:cs="Times New Roman"/>
                            <w:i/>
                            <w:iCs/>
                            <w:sz w:val="15"/>
                            <w:szCs w:val="15"/>
                            <w:lang w:val="en-US" w:eastAsia="it-IT"/>
                          </w:rPr>
                          <w:t xml:space="preserve"> Sur </w:t>
                        </w:r>
                        <w:proofErr w:type="spellStart"/>
                        <w:r w:rsidRPr="00B07E61">
                          <w:rPr>
                            <w:rFonts w:ascii="Verdana" w:eastAsia="Times New Roman" w:hAnsi="Verdana" w:cs="Times New Roman"/>
                            <w:i/>
                            <w:iCs/>
                            <w:sz w:val="15"/>
                            <w:szCs w:val="15"/>
                            <w:lang w:val="en-US" w:eastAsia="it-IT"/>
                          </w:rPr>
                          <w:t>trois</w:t>
                        </w:r>
                        <w:proofErr w:type="spellEnd"/>
                        <w:r w:rsidRPr="00B07E61">
                          <w:rPr>
                            <w:rFonts w:ascii="Verdana" w:eastAsia="Times New Roman" w:hAnsi="Verdana" w:cs="Times New Roman"/>
                            <w:i/>
                            <w:iCs/>
                            <w:sz w:val="15"/>
                            <w:szCs w:val="15"/>
                            <w:lang w:val="en-US" w:eastAsia="it-IT"/>
                          </w:rPr>
                          <w:t xml:space="preserve"> </w:t>
                        </w:r>
                        <w:proofErr w:type="spellStart"/>
                        <w:r w:rsidRPr="00B07E61">
                          <w:rPr>
                            <w:rFonts w:ascii="Verdana" w:eastAsia="Times New Roman" w:hAnsi="Verdana" w:cs="Times New Roman"/>
                            <w:i/>
                            <w:iCs/>
                            <w:sz w:val="15"/>
                            <w:szCs w:val="15"/>
                            <w:lang w:val="en-US" w:eastAsia="it-IT"/>
                          </w:rPr>
                          <w:t>textes</w:t>
                        </w:r>
                        <w:proofErr w:type="spellEnd"/>
                        <w:r w:rsidRPr="00B07E61">
                          <w:rPr>
                            <w:rFonts w:ascii="Verdana" w:eastAsia="Times New Roman" w:hAnsi="Verdana" w:cs="Times New Roman"/>
                            <w:i/>
                            <w:iCs/>
                            <w:sz w:val="15"/>
                            <w:szCs w:val="15"/>
                            <w:lang w:val="en-US" w:eastAsia="it-IT"/>
                          </w:rPr>
                          <w:t xml:space="preserve"> </w:t>
                        </w:r>
                        <w:proofErr w:type="spellStart"/>
                        <w:r w:rsidRPr="00B07E61">
                          <w:rPr>
                            <w:rFonts w:ascii="Verdana" w:eastAsia="Times New Roman" w:hAnsi="Verdana" w:cs="Times New Roman"/>
                            <w:i/>
                            <w:iCs/>
                            <w:sz w:val="15"/>
                            <w:szCs w:val="15"/>
                            <w:lang w:val="en-US" w:eastAsia="it-IT"/>
                          </w:rPr>
                          <w:t>bibliques</w:t>
                        </w:r>
                        <w:proofErr w:type="spellEnd"/>
                        <w:r w:rsidRPr="00B07E61">
                          <w:rPr>
                            <w:rFonts w:ascii="Verdana" w:eastAsia="Times New Roman" w:hAnsi="Verdana" w:cs="Times New Roman"/>
                            <w:i/>
                            <w:iCs/>
                            <w:sz w:val="15"/>
                            <w:szCs w:val="15"/>
                            <w:lang w:val="en-US" w:eastAsia="it-IT"/>
                          </w:rPr>
                          <w:t xml:space="preserve"> </w:t>
                        </w:r>
                        <w:proofErr w:type="spellStart"/>
                        <w:r w:rsidRPr="00B07E61">
                          <w:rPr>
                            <w:rFonts w:ascii="Verdana" w:eastAsia="Times New Roman" w:hAnsi="Verdana" w:cs="Times New Roman"/>
                            <w:i/>
                            <w:iCs/>
                            <w:sz w:val="15"/>
                            <w:szCs w:val="15"/>
                            <w:lang w:val="en-US" w:eastAsia="it-IT"/>
                          </w:rPr>
                          <w:t>concernant</w:t>
                        </w:r>
                        <w:proofErr w:type="spellEnd"/>
                        <w:r w:rsidRPr="00B07E61">
                          <w:rPr>
                            <w:rFonts w:ascii="Verdana" w:eastAsia="Times New Roman" w:hAnsi="Verdana" w:cs="Times New Roman"/>
                            <w:i/>
                            <w:iCs/>
                            <w:sz w:val="15"/>
                            <w:szCs w:val="15"/>
                            <w:lang w:val="en-US" w:eastAsia="it-IT"/>
                          </w:rPr>
                          <w:t xml:space="preserve"> des </w:t>
                        </w:r>
                        <w:proofErr w:type="spellStart"/>
                        <w:r w:rsidRPr="00B07E61">
                          <w:rPr>
                            <w:rFonts w:ascii="Verdana" w:eastAsia="Times New Roman" w:hAnsi="Verdana" w:cs="Times New Roman"/>
                            <w:i/>
                            <w:iCs/>
                            <w:sz w:val="15"/>
                            <w:szCs w:val="15"/>
                            <w:lang w:val="en-US" w:eastAsia="it-IT"/>
                          </w:rPr>
                          <w:t>actes</w:t>
                        </w:r>
                        <w:proofErr w:type="spellEnd"/>
                        <w:r w:rsidRPr="00B07E61">
                          <w:rPr>
                            <w:rFonts w:ascii="Verdana" w:eastAsia="Times New Roman" w:hAnsi="Verdana" w:cs="Times New Roman"/>
                            <w:i/>
                            <w:iCs/>
                            <w:sz w:val="15"/>
                            <w:szCs w:val="15"/>
                            <w:lang w:val="en-US" w:eastAsia="it-IT"/>
                          </w:rPr>
                          <w:t xml:space="preserve"> </w:t>
                        </w:r>
                        <w:proofErr w:type="spellStart"/>
                        <w:r w:rsidRPr="00B07E61">
                          <w:rPr>
                            <w:rFonts w:ascii="Verdana" w:eastAsia="Times New Roman" w:hAnsi="Verdana" w:cs="Times New Roman"/>
                            <w:i/>
                            <w:iCs/>
                            <w:sz w:val="15"/>
                            <w:szCs w:val="15"/>
                            <w:lang w:val="en-US" w:eastAsia="it-IT"/>
                          </w:rPr>
                          <w:t>écrits</w:t>
                        </w:r>
                        <w:proofErr w:type="spellEnd"/>
                        <w:r w:rsidRPr="00B07E61">
                          <w:rPr>
                            <w:rFonts w:ascii="Verdana" w:eastAsia="Times New Roman" w:hAnsi="Verdana" w:cs="Times New Roman"/>
                            <w:sz w:val="15"/>
                            <w:szCs w:val="15"/>
                            <w:lang w:val="en-US" w:eastAsia="it-IT"/>
                          </w:rPr>
                          <w:t xml:space="preserve">, </w:t>
                        </w:r>
                        <w:proofErr w:type="spellStart"/>
                        <w:r w:rsidRPr="00B07E61">
                          <w:rPr>
                            <w:rFonts w:ascii="Verdana" w:eastAsia="Times New Roman" w:hAnsi="Verdana" w:cs="Times New Roman"/>
                            <w:sz w:val="15"/>
                            <w:szCs w:val="15"/>
                            <w:lang w:val="en-US" w:eastAsia="it-IT"/>
                          </w:rPr>
                          <w:t>Mél</w:t>
                        </w:r>
                        <w:proofErr w:type="spellEnd"/>
                        <w:r w:rsidRPr="00B07E61">
                          <w:rPr>
                            <w:rFonts w:ascii="Verdana" w:eastAsia="Times New Roman" w:hAnsi="Verdana" w:cs="Times New Roman"/>
                            <w:sz w:val="15"/>
                            <w:szCs w:val="15"/>
                            <w:lang w:val="en-US" w:eastAsia="it-IT"/>
                          </w:rPr>
                          <w:t xml:space="preserve">. </w:t>
                        </w:r>
                        <w:proofErr w:type="spellStart"/>
                        <w:r w:rsidRPr="00B07E61">
                          <w:rPr>
                            <w:rFonts w:ascii="Verdana" w:eastAsia="Times New Roman" w:hAnsi="Verdana" w:cs="Times New Roman"/>
                            <w:sz w:val="15"/>
                            <w:szCs w:val="15"/>
                            <w:lang w:val="en-US" w:eastAsia="it-IT"/>
                          </w:rPr>
                          <w:t>Prévost</w:t>
                        </w:r>
                        <w:proofErr w:type="spellEnd"/>
                        <w:r w:rsidRPr="00B07E61">
                          <w:rPr>
                            <w:rFonts w:ascii="Verdana" w:eastAsia="Times New Roman" w:hAnsi="Verdana" w:cs="Times New Roman"/>
                            <w:sz w:val="15"/>
                            <w:szCs w:val="15"/>
                            <w:lang w:val="en-US" w:eastAsia="it-IT"/>
                          </w:rPr>
                          <w:t xml:space="preserve">, 1982, pp. 23 - 48 (= </w:t>
                        </w:r>
                        <w:proofErr w:type="spellStart"/>
                        <w:r w:rsidRPr="00B07E61">
                          <w:rPr>
                            <w:rFonts w:ascii="Verdana" w:eastAsia="Times New Roman" w:hAnsi="Verdana" w:cs="Times New Roman"/>
                            <w:i/>
                            <w:iCs/>
                            <w:sz w:val="15"/>
                            <w:szCs w:val="15"/>
                            <w:lang w:val="en-US" w:eastAsia="it-IT"/>
                          </w:rPr>
                          <w:t>Autour</w:t>
                        </w:r>
                        <w:proofErr w:type="spellEnd"/>
                        <w:r w:rsidRPr="00B07E61">
                          <w:rPr>
                            <w:rFonts w:ascii="Verdana" w:eastAsia="Times New Roman" w:hAnsi="Verdana" w:cs="Times New Roman"/>
                            <w:i/>
                            <w:iCs/>
                            <w:sz w:val="15"/>
                            <w:szCs w:val="15"/>
                            <w:lang w:val="en-US" w:eastAsia="it-IT"/>
                          </w:rPr>
                          <w:t xml:space="preserve"> de la </w:t>
                        </w:r>
                        <w:proofErr w:type="spellStart"/>
                        <w:r w:rsidRPr="00B07E61">
                          <w:rPr>
                            <w:rFonts w:ascii="Verdana" w:eastAsia="Times New Roman" w:hAnsi="Verdana" w:cs="Times New Roman"/>
                            <w:i/>
                            <w:iCs/>
                            <w:sz w:val="15"/>
                            <w:szCs w:val="15"/>
                            <w:lang w:val="en-US" w:eastAsia="it-IT"/>
                          </w:rPr>
                          <w:t>preuve</w:t>
                        </w:r>
                        <w:proofErr w:type="spellEnd"/>
                        <w:r w:rsidRPr="00B07E61">
                          <w:rPr>
                            <w:rFonts w:ascii="Verdana" w:eastAsia="Times New Roman" w:hAnsi="Verdana" w:cs="Times New Roman"/>
                            <w:i/>
                            <w:iCs/>
                            <w:sz w:val="15"/>
                            <w:szCs w:val="15"/>
                            <w:lang w:val="en-US" w:eastAsia="it-IT"/>
                          </w:rPr>
                          <w:t xml:space="preserve"> </w:t>
                        </w:r>
                        <w:proofErr w:type="spellStart"/>
                        <w:r w:rsidRPr="00B07E61">
                          <w:rPr>
                            <w:rFonts w:ascii="Verdana" w:eastAsia="Times New Roman" w:hAnsi="Verdana" w:cs="Times New Roman"/>
                            <w:i/>
                            <w:iCs/>
                            <w:sz w:val="15"/>
                            <w:szCs w:val="15"/>
                            <w:lang w:val="en-US" w:eastAsia="it-IT"/>
                          </w:rPr>
                          <w:t>dans</w:t>
                        </w:r>
                        <w:proofErr w:type="spellEnd"/>
                        <w:r w:rsidRPr="00B07E61">
                          <w:rPr>
                            <w:rFonts w:ascii="Verdana" w:eastAsia="Times New Roman" w:hAnsi="Verdana" w:cs="Times New Roman"/>
                            <w:i/>
                            <w:iCs/>
                            <w:sz w:val="15"/>
                            <w:szCs w:val="15"/>
                            <w:lang w:val="en-US" w:eastAsia="it-IT"/>
                          </w:rPr>
                          <w:t xml:space="preserve"> les </w:t>
                        </w:r>
                        <w:proofErr w:type="spellStart"/>
                        <w:r w:rsidRPr="00B07E61">
                          <w:rPr>
                            <w:rFonts w:ascii="Verdana" w:eastAsia="Times New Roman" w:hAnsi="Verdana" w:cs="Times New Roman"/>
                            <w:i/>
                            <w:iCs/>
                            <w:sz w:val="15"/>
                            <w:szCs w:val="15"/>
                            <w:lang w:val="en-US" w:eastAsia="it-IT"/>
                          </w:rPr>
                          <w:t>droits</w:t>
                        </w:r>
                        <w:proofErr w:type="spellEnd"/>
                        <w:r w:rsidRPr="00B07E61">
                          <w:rPr>
                            <w:rFonts w:ascii="Verdana" w:eastAsia="Times New Roman" w:hAnsi="Verdana" w:cs="Times New Roman"/>
                            <w:i/>
                            <w:iCs/>
                            <w:sz w:val="15"/>
                            <w:szCs w:val="15"/>
                            <w:lang w:val="en-US" w:eastAsia="it-IT"/>
                          </w:rPr>
                          <w:t xml:space="preserve"> de </w:t>
                        </w:r>
                        <w:proofErr w:type="spellStart"/>
                        <w:r w:rsidRPr="00B07E61">
                          <w:rPr>
                            <w:rFonts w:ascii="Verdana" w:eastAsia="Times New Roman" w:hAnsi="Verdana" w:cs="Times New Roman"/>
                            <w:i/>
                            <w:iCs/>
                            <w:sz w:val="15"/>
                            <w:szCs w:val="15"/>
                            <w:lang w:val="en-US" w:eastAsia="it-IT"/>
                          </w:rPr>
                          <w:t>l'antiquité</w:t>
                        </w:r>
                        <w:proofErr w:type="spellEnd"/>
                        <w:r w:rsidRPr="00B07E61">
                          <w:rPr>
                            <w:rFonts w:ascii="Verdana" w:eastAsia="Times New Roman" w:hAnsi="Verdana" w:cs="Times New Roman"/>
                            <w:sz w:val="15"/>
                            <w:szCs w:val="15"/>
                            <w:lang w:val="en-US" w:eastAsia="it-IT"/>
                          </w:rPr>
                          <w:t xml:space="preserve">, </w:t>
                        </w:r>
                        <w:proofErr w:type="spellStart"/>
                        <w:r w:rsidRPr="00B07E61">
                          <w:rPr>
                            <w:rFonts w:ascii="Verdana" w:eastAsia="Times New Roman" w:hAnsi="Verdana" w:cs="Times New Roman"/>
                            <w:sz w:val="15"/>
                            <w:szCs w:val="15"/>
                            <w:lang w:val="en-US" w:eastAsia="it-IT"/>
                          </w:rPr>
                          <w:t>Antiqua</w:t>
                        </w:r>
                        <w:proofErr w:type="spellEnd"/>
                        <w:r w:rsidRPr="00B07E61">
                          <w:rPr>
                            <w:rFonts w:ascii="Verdana" w:eastAsia="Times New Roman" w:hAnsi="Verdana" w:cs="Times New Roman"/>
                            <w:sz w:val="15"/>
                            <w:szCs w:val="15"/>
                            <w:lang w:val="en-US" w:eastAsia="it-IT"/>
                          </w:rPr>
                          <w:t>, 63, Napoli, 1992, p. 137); Id.,</w:t>
                        </w:r>
                        <w:r w:rsidRPr="00B07E61">
                          <w:rPr>
                            <w:rFonts w:ascii="Verdana" w:eastAsia="Times New Roman" w:hAnsi="Verdana" w:cs="Times New Roman"/>
                            <w:i/>
                            <w:iCs/>
                            <w:sz w:val="15"/>
                            <w:szCs w:val="15"/>
                            <w:lang w:val="en-US" w:eastAsia="it-IT"/>
                          </w:rPr>
                          <w:t xml:space="preserve"> Sur </w:t>
                        </w:r>
                        <w:proofErr w:type="spellStart"/>
                        <w:r w:rsidRPr="00B07E61">
                          <w:rPr>
                            <w:rFonts w:ascii="Verdana" w:eastAsia="Times New Roman" w:hAnsi="Verdana" w:cs="Times New Roman"/>
                            <w:i/>
                            <w:iCs/>
                            <w:sz w:val="15"/>
                            <w:szCs w:val="15"/>
                            <w:lang w:val="en-US" w:eastAsia="it-IT"/>
                          </w:rPr>
                          <w:t>l’hist</w:t>
                        </w:r>
                        <w:proofErr w:type="spellEnd"/>
                        <w:r w:rsidRPr="00B07E61">
                          <w:rPr>
                            <w:rFonts w:ascii="Verdana" w:eastAsia="Times New Roman" w:hAnsi="Verdana" w:cs="Times New Roman"/>
                            <w:i/>
                            <w:iCs/>
                            <w:sz w:val="15"/>
                            <w:szCs w:val="15"/>
                            <w:lang w:val="en-US" w:eastAsia="it-IT"/>
                          </w:rPr>
                          <w:t xml:space="preserve">. de la </w:t>
                        </w:r>
                        <w:proofErr w:type="spellStart"/>
                        <w:r w:rsidRPr="00B07E61">
                          <w:rPr>
                            <w:rFonts w:ascii="Verdana" w:eastAsia="Times New Roman" w:hAnsi="Verdana" w:cs="Times New Roman"/>
                            <w:i/>
                            <w:iCs/>
                            <w:sz w:val="15"/>
                            <w:szCs w:val="15"/>
                            <w:lang w:val="en-US" w:eastAsia="it-IT"/>
                          </w:rPr>
                          <w:t>preuve</w:t>
                        </w:r>
                        <w:proofErr w:type="spellEnd"/>
                        <w:r w:rsidRPr="00B07E61">
                          <w:rPr>
                            <w:rFonts w:ascii="Verdana" w:eastAsia="Times New Roman" w:hAnsi="Verdana" w:cs="Times New Roman"/>
                            <w:i/>
                            <w:iCs/>
                            <w:sz w:val="15"/>
                            <w:szCs w:val="15"/>
                            <w:lang w:val="en-US" w:eastAsia="it-IT"/>
                          </w:rPr>
                          <w:t xml:space="preserve"> </w:t>
                        </w:r>
                        <w:proofErr w:type="spellStart"/>
                        <w:r w:rsidRPr="00B07E61">
                          <w:rPr>
                            <w:rFonts w:ascii="Verdana" w:eastAsia="Times New Roman" w:hAnsi="Verdana" w:cs="Times New Roman"/>
                            <w:i/>
                            <w:iCs/>
                            <w:sz w:val="15"/>
                            <w:szCs w:val="15"/>
                            <w:lang w:val="en-US" w:eastAsia="it-IT"/>
                          </w:rPr>
                          <w:t>litterále</w:t>
                        </w:r>
                        <w:proofErr w:type="spellEnd"/>
                        <w:r w:rsidRPr="00B07E61">
                          <w:rPr>
                            <w:rFonts w:ascii="Verdana" w:eastAsia="Times New Roman" w:hAnsi="Verdana" w:cs="Times New Roman"/>
                            <w:sz w:val="15"/>
                            <w:szCs w:val="15"/>
                            <w:lang w:val="en-US" w:eastAsia="it-IT"/>
                          </w:rPr>
                          <w:t>, Index, 15, 1987, p. 476.</w:t>
                        </w:r>
                      </w:p>
                    </w:tc>
                  </w:tr>
                </w:tbl>
                <w:p w:rsidR="00B07E61" w:rsidRPr="00B07E61" w:rsidRDefault="00B07E61" w:rsidP="00B07E61">
                  <w:pPr>
                    <w:spacing w:after="0" w:line="240" w:lineRule="auto"/>
                    <w:ind w:firstLine="0"/>
                    <w:jc w:val="left"/>
                    <w:rPr>
                      <w:rFonts w:ascii="Times New Roman" w:eastAsia="Times New Roman" w:hAnsi="Times New Roman" w:cs="Times New Roman"/>
                      <w:sz w:val="24"/>
                      <w:szCs w:val="24"/>
                      <w:lang w:val="en-US" w:eastAsia="it-IT"/>
                    </w:rPr>
                  </w:pPr>
                </w:p>
              </w:tc>
            </w:tr>
          </w:tbl>
          <w:p w:rsidR="00B07E61" w:rsidRPr="00B07E61" w:rsidRDefault="00B07E61" w:rsidP="00B07E61">
            <w:pPr>
              <w:spacing w:after="0" w:line="240" w:lineRule="auto"/>
              <w:ind w:firstLine="0"/>
              <w:jc w:val="right"/>
              <w:rPr>
                <w:rFonts w:ascii="Times New Roman" w:eastAsia="Times New Roman" w:hAnsi="Times New Roman" w:cs="Times New Roman"/>
                <w:sz w:val="24"/>
                <w:szCs w:val="24"/>
                <w:lang w:val="en-US" w:eastAsia="it-IT"/>
              </w:rPr>
            </w:pPr>
          </w:p>
        </w:tc>
      </w:tr>
    </w:tbl>
    <w:p w:rsidR="00F86B9A" w:rsidRPr="00B07E61" w:rsidRDefault="00F86B9A">
      <w:pPr>
        <w:rPr>
          <w:lang w:val="en-US"/>
        </w:rPr>
      </w:pPr>
    </w:p>
    <w:sectPr w:rsidR="00F86B9A" w:rsidRPr="00B07E61" w:rsidSect="00F86B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dobeGaramond"/>
    <w:panose1 w:val="020F0502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C25FA"/>
    <w:multiLevelType w:val="multilevel"/>
    <w:tmpl w:val="9592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B07E61"/>
    <w:rsid w:val="001C539B"/>
    <w:rsid w:val="00541421"/>
    <w:rsid w:val="00557DD1"/>
    <w:rsid w:val="00B07E61"/>
    <w:rsid w:val="00B32E5B"/>
    <w:rsid w:val="00B51792"/>
    <w:rsid w:val="00BC0FDF"/>
    <w:rsid w:val="00CB4CDB"/>
    <w:rsid w:val="00D44C83"/>
    <w:rsid w:val="00E12CF1"/>
    <w:rsid w:val="00F86B9A"/>
    <w:rsid w:val="00FB0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40" w:lineRule="exact"/>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B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07E61"/>
    <w:rPr>
      <w:b/>
      <w:bCs/>
    </w:rPr>
  </w:style>
  <w:style w:type="character" w:styleId="Collegamentoipertestuale">
    <w:name w:val="Hyperlink"/>
    <w:basedOn w:val="Carpredefinitoparagrafo"/>
    <w:uiPriority w:val="99"/>
    <w:semiHidden/>
    <w:unhideWhenUsed/>
    <w:rsid w:val="00B07E61"/>
    <w:rPr>
      <w:color w:val="0000FF"/>
      <w:u w:val="single"/>
    </w:rPr>
  </w:style>
  <w:style w:type="paragraph" w:styleId="NormaleWeb">
    <w:name w:val="Normal (Web)"/>
    <w:basedOn w:val="Normale"/>
    <w:uiPriority w:val="99"/>
    <w:unhideWhenUsed/>
    <w:rsid w:val="00B07E61"/>
    <w:pPr>
      <w:spacing w:before="100" w:beforeAutospacing="1" w:after="100" w:afterAutospacing="1" w:line="240" w:lineRule="auto"/>
      <w:ind w:firstLine="0"/>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07E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7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0034434">
      <w:bodyDiv w:val="1"/>
      <w:marLeft w:val="0"/>
      <w:marRight w:val="0"/>
      <w:marTop w:val="0"/>
      <w:marBottom w:val="0"/>
      <w:divBdr>
        <w:top w:val="none" w:sz="0" w:space="0" w:color="auto"/>
        <w:left w:val="none" w:sz="0" w:space="0" w:color="auto"/>
        <w:bottom w:val="none" w:sz="0" w:space="0" w:color="auto"/>
        <w:right w:val="none" w:sz="0" w:space="0" w:color="auto"/>
      </w:divBdr>
      <w:divsChild>
        <w:div w:id="176213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iura\d_cuneiformi\MANIF\index.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file:///E:\iura\d_cuneiformi\index.html"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E:\iura\index.html" TargetMode="External"/><Relationship Id="rId11" Type="http://schemas.openxmlformats.org/officeDocument/2006/relationships/image" Target="media/image1.jpeg"/><Relationship Id="rId5" Type="http://schemas.openxmlformats.org/officeDocument/2006/relationships/hyperlink" Target="file:///E:\iura\index.html" TargetMode="External"/><Relationship Id="rId15" Type="http://schemas.openxmlformats.org/officeDocument/2006/relationships/hyperlink" Target="file:///E:\iura\d_cuneiformi\edit\02.html" TargetMode="External"/><Relationship Id="rId10" Type="http://schemas.openxmlformats.org/officeDocument/2006/relationships/hyperlink" Target="file:///E:\iura\contatto\index.html" TargetMode="External"/><Relationship Id="rId4" Type="http://schemas.openxmlformats.org/officeDocument/2006/relationships/webSettings" Target="webSettings.xml"/><Relationship Id="rId9" Type="http://schemas.openxmlformats.org/officeDocument/2006/relationships/hyperlink" Target="file:///E:\iura\d_cuneiformi\LINKS\index.html" TargetMode="External"/><Relationship Id="rId14" Type="http://schemas.openxmlformats.org/officeDocument/2006/relationships/hyperlink" Target="file:///E:\iura\d_cuneiformi\edit\0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817</Words>
  <Characters>4659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Purpura</dc:creator>
  <cp:lastModifiedBy>Purpura</cp:lastModifiedBy>
  <cp:revision>16</cp:revision>
  <dcterms:created xsi:type="dcterms:W3CDTF">2014-01-19T18:58:00Z</dcterms:created>
  <dcterms:modified xsi:type="dcterms:W3CDTF">2014-01-27T10:15:00Z</dcterms:modified>
</cp:coreProperties>
</file>